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BE" w:rsidRDefault="00B55ABE" w:rsidP="00777DCD">
      <w:pPr>
        <w:jc w:val="center"/>
        <w:rPr>
          <w:rFonts w:asciiTheme="minorHAnsi" w:hAnsiTheme="minorHAnsi"/>
          <w:b/>
          <w:sz w:val="28"/>
          <w:u w:val="single"/>
        </w:rPr>
      </w:pPr>
      <w:bookmarkStart w:id="0" w:name="_GoBack"/>
      <w:bookmarkEnd w:id="0"/>
    </w:p>
    <w:p w:rsidR="00B55ABE" w:rsidRDefault="00B55ABE" w:rsidP="00777DCD">
      <w:pPr>
        <w:jc w:val="center"/>
        <w:rPr>
          <w:rFonts w:asciiTheme="minorHAnsi" w:hAnsiTheme="minorHAnsi"/>
          <w:b/>
          <w:sz w:val="28"/>
          <w:u w:val="single"/>
        </w:rPr>
      </w:pPr>
    </w:p>
    <w:p w:rsidR="00777DCD" w:rsidRPr="0047166D" w:rsidRDefault="005B3E0E" w:rsidP="00777DCD">
      <w:pPr>
        <w:jc w:val="center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Ely St John’s 2018</w:t>
      </w:r>
      <w:r w:rsidR="00777DCD" w:rsidRPr="0047166D">
        <w:rPr>
          <w:rFonts w:asciiTheme="minorHAnsi" w:hAnsiTheme="minorHAnsi"/>
          <w:b/>
          <w:sz w:val="28"/>
          <w:u w:val="single"/>
        </w:rPr>
        <w:t xml:space="preserve"> A</w:t>
      </w:r>
      <w:r w:rsidR="00E15218">
        <w:rPr>
          <w:rFonts w:asciiTheme="minorHAnsi" w:hAnsiTheme="minorHAnsi"/>
          <w:b/>
          <w:sz w:val="28"/>
          <w:u w:val="single"/>
        </w:rPr>
        <w:t>chievement</w:t>
      </w:r>
      <w:r w:rsidR="00777DCD" w:rsidRPr="0047166D">
        <w:rPr>
          <w:rFonts w:asciiTheme="minorHAnsi" w:hAnsiTheme="minorHAnsi"/>
          <w:b/>
          <w:sz w:val="28"/>
          <w:u w:val="single"/>
        </w:rPr>
        <w:t xml:space="preserve"> Report</w:t>
      </w:r>
    </w:p>
    <w:p w:rsidR="00777DCD" w:rsidRDefault="00777DCD" w:rsidP="00777DCD">
      <w:pPr>
        <w:jc w:val="center"/>
        <w:rPr>
          <w:rFonts w:asciiTheme="minorHAnsi" w:hAnsiTheme="minorHAnsi"/>
          <w:b/>
          <w:sz w:val="24"/>
          <w:u w:val="single"/>
        </w:rPr>
      </w:pPr>
    </w:p>
    <w:p w:rsidR="00B55ABE" w:rsidRDefault="00B55ABE" w:rsidP="00777DCD">
      <w:pPr>
        <w:jc w:val="center"/>
        <w:rPr>
          <w:rFonts w:asciiTheme="minorHAnsi" w:hAnsiTheme="minorHAnsi"/>
          <w:b/>
          <w:sz w:val="24"/>
          <w:u w:val="single"/>
        </w:rPr>
      </w:pPr>
    </w:p>
    <w:p w:rsidR="00B55ABE" w:rsidRDefault="00B55ABE" w:rsidP="00777DCD">
      <w:pPr>
        <w:jc w:val="center"/>
        <w:rPr>
          <w:rFonts w:asciiTheme="minorHAnsi" w:hAnsiTheme="minorHAnsi"/>
          <w:b/>
          <w:sz w:val="24"/>
          <w:u w:val="single"/>
        </w:rPr>
      </w:pPr>
    </w:p>
    <w:p w:rsidR="00B55ABE" w:rsidRPr="00A604D1" w:rsidRDefault="00B55ABE" w:rsidP="00777DCD">
      <w:pPr>
        <w:jc w:val="center"/>
        <w:rPr>
          <w:rFonts w:asciiTheme="minorHAnsi" w:hAnsiTheme="minorHAnsi"/>
          <w:b/>
          <w:sz w:val="24"/>
          <w:u w:val="single"/>
        </w:rPr>
      </w:pPr>
    </w:p>
    <w:p w:rsidR="007B387E" w:rsidRPr="00454843" w:rsidRDefault="00777DCD" w:rsidP="00454843">
      <w:pPr>
        <w:jc w:val="center"/>
        <w:rPr>
          <w:b/>
          <w:sz w:val="26"/>
        </w:rPr>
      </w:pPr>
      <w:r w:rsidRPr="00D7163E">
        <w:rPr>
          <w:b/>
          <w:sz w:val="26"/>
        </w:rPr>
        <w:t>COMPARATIVE REPORT KEY STAGE ONE</w:t>
      </w:r>
    </w:p>
    <w:p w:rsidR="00042783" w:rsidRDefault="007B387E" w:rsidP="00454843">
      <w:r>
        <w:t xml:space="preserve">This table </w:t>
      </w:r>
      <w:r w:rsidR="00777DCD">
        <w:t xml:space="preserve">shows the </w:t>
      </w:r>
      <w:r w:rsidR="00777DCD" w:rsidRPr="007B387E">
        <w:t>percentage (rounded)</w:t>
      </w:r>
      <w:r w:rsidR="00777DCD">
        <w:t xml:space="preserve"> of year 2 pupils achieving </w:t>
      </w:r>
      <w:r>
        <w:t>the expected standard</w:t>
      </w:r>
      <w:r w:rsidR="00777DCD">
        <w:t xml:space="preserve"> in 2</w:t>
      </w:r>
      <w:r w:rsidR="009675F4">
        <w:t>016-2018</w:t>
      </w:r>
      <w:r>
        <w:t xml:space="preserve"> compared to the </w:t>
      </w:r>
      <w:r w:rsidR="00392DCB">
        <w:t>National</w:t>
      </w:r>
      <w:r>
        <w:t xml:space="preserve"> percentage.</w:t>
      </w:r>
      <w:r w:rsidR="00777DCD">
        <w:t xml:space="preserve">   </w:t>
      </w:r>
    </w:p>
    <w:p w:rsidR="00777DCD" w:rsidRDefault="00777DCD" w:rsidP="0045484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559"/>
        <w:gridCol w:w="1559"/>
        <w:gridCol w:w="1559"/>
        <w:gridCol w:w="1559"/>
      </w:tblGrid>
      <w:tr w:rsidR="00553E62" w:rsidTr="006A69DC">
        <w:tc>
          <w:tcPr>
            <w:tcW w:w="4786" w:type="dxa"/>
            <w:vAlign w:val="center"/>
          </w:tcPr>
          <w:p w:rsidR="00553E62" w:rsidRDefault="00553E62" w:rsidP="00553E62"/>
        </w:tc>
        <w:tc>
          <w:tcPr>
            <w:tcW w:w="1701" w:type="dxa"/>
            <w:vAlign w:val="center"/>
          </w:tcPr>
          <w:p w:rsidR="00553E62" w:rsidRPr="007B387E" w:rsidRDefault="00553E62" w:rsidP="00553E62">
            <w:pPr>
              <w:rPr>
                <w:b/>
              </w:rPr>
            </w:pPr>
            <w:r w:rsidRPr="007B387E">
              <w:rPr>
                <w:b/>
              </w:rPr>
              <w:t xml:space="preserve">School </w:t>
            </w:r>
            <w:r>
              <w:rPr>
                <w:b/>
              </w:rPr>
              <w:t>2016</w:t>
            </w:r>
          </w:p>
        </w:tc>
        <w:tc>
          <w:tcPr>
            <w:tcW w:w="1701" w:type="dxa"/>
            <w:vAlign w:val="center"/>
          </w:tcPr>
          <w:p w:rsidR="00553E62" w:rsidRPr="007B387E" w:rsidRDefault="00553E62" w:rsidP="00553E62">
            <w:pPr>
              <w:rPr>
                <w:b/>
              </w:rPr>
            </w:pPr>
            <w:r>
              <w:rPr>
                <w:b/>
              </w:rPr>
              <w:t>National2016</w:t>
            </w:r>
          </w:p>
        </w:tc>
        <w:tc>
          <w:tcPr>
            <w:tcW w:w="1559" w:type="dxa"/>
            <w:vAlign w:val="center"/>
          </w:tcPr>
          <w:p w:rsidR="00553E62" w:rsidRDefault="00553E62" w:rsidP="00553E62">
            <w:pPr>
              <w:rPr>
                <w:b/>
              </w:rPr>
            </w:pPr>
            <w:r w:rsidRPr="007B387E">
              <w:rPr>
                <w:b/>
              </w:rPr>
              <w:t xml:space="preserve">School </w:t>
            </w:r>
            <w:r>
              <w:rPr>
                <w:b/>
              </w:rPr>
              <w:t>2017</w:t>
            </w:r>
          </w:p>
        </w:tc>
        <w:tc>
          <w:tcPr>
            <w:tcW w:w="1559" w:type="dxa"/>
            <w:vAlign w:val="center"/>
          </w:tcPr>
          <w:p w:rsidR="00553E62" w:rsidRDefault="00553E62" w:rsidP="00553E62">
            <w:pPr>
              <w:rPr>
                <w:b/>
              </w:rPr>
            </w:pPr>
            <w:r>
              <w:rPr>
                <w:b/>
              </w:rPr>
              <w:t xml:space="preserve">LA </w:t>
            </w:r>
          </w:p>
          <w:p w:rsidR="00553E62" w:rsidRDefault="00553E62" w:rsidP="00553E62">
            <w:pPr>
              <w:rPr>
                <w:b/>
              </w:rPr>
            </w:pPr>
            <w:r>
              <w:rPr>
                <w:b/>
              </w:rPr>
              <w:t>(National 17)</w:t>
            </w:r>
          </w:p>
          <w:p w:rsidR="00553E62" w:rsidRDefault="00553E62" w:rsidP="00553E62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53E62" w:rsidRDefault="00553E62" w:rsidP="00553E62">
            <w:pPr>
              <w:rPr>
                <w:b/>
              </w:rPr>
            </w:pPr>
            <w:r w:rsidRPr="007B387E">
              <w:rPr>
                <w:b/>
              </w:rPr>
              <w:t xml:space="preserve">School </w:t>
            </w:r>
            <w:r>
              <w:rPr>
                <w:b/>
              </w:rPr>
              <w:t>2018</w:t>
            </w:r>
          </w:p>
        </w:tc>
        <w:tc>
          <w:tcPr>
            <w:tcW w:w="1559" w:type="dxa"/>
            <w:vAlign w:val="center"/>
          </w:tcPr>
          <w:p w:rsidR="00553E62" w:rsidRDefault="00553E62" w:rsidP="00553E62">
            <w:pPr>
              <w:rPr>
                <w:b/>
              </w:rPr>
            </w:pPr>
            <w:r>
              <w:rPr>
                <w:b/>
              </w:rPr>
              <w:t xml:space="preserve">LA </w:t>
            </w:r>
          </w:p>
          <w:p w:rsidR="00553E62" w:rsidRDefault="00553E62" w:rsidP="00553E62">
            <w:pPr>
              <w:rPr>
                <w:b/>
              </w:rPr>
            </w:pPr>
            <w:r>
              <w:rPr>
                <w:b/>
              </w:rPr>
              <w:t>(National 18)</w:t>
            </w:r>
          </w:p>
          <w:p w:rsidR="00670EB5" w:rsidRDefault="00670EB5" w:rsidP="00553E62">
            <w:pPr>
              <w:rPr>
                <w:b/>
              </w:rPr>
            </w:pPr>
            <w:r>
              <w:rPr>
                <w:b/>
              </w:rPr>
              <w:t>(provisional)</w:t>
            </w:r>
          </w:p>
          <w:p w:rsidR="00553E62" w:rsidRDefault="00553E62" w:rsidP="00553E62">
            <w:pPr>
              <w:rPr>
                <w:b/>
              </w:rPr>
            </w:pPr>
          </w:p>
        </w:tc>
      </w:tr>
      <w:tr w:rsidR="00553E62" w:rsidTr="00844C52">
        <w:tc>
          <w:tcPr>
            <w:tcW w:w="4786" w:type="dxa"/>
            <w:vAlign w:val="center"/>
          </w:tcPr>
          <w:p w:rsidR="00553E62" w:rsidRPr="007B387E" w:rsidRDefault="00553E62" w:rsidP="00042783">
            <w:pPr>
              <w:rPr>
                <w:b/>
              </w:rPr>
            </w:pPr>
            <w:r w:rsidRPr="007B387E">
              <w:rPr>
                <w:b/>
              </w:rPr>
              <w:t>Reading</w:t>
            </w:r>
            <w:r>
              <w:rPr>
                <w:b/>
              </w:rPr>
              <w:t xml:space="preserve"> at the expected standard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87.8%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74%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79.7%  (47/58)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73%  (75.5%)</w:t>
            </w:r>
          </w:p>
        </w:tc>
        <w:tc>
          <w:tcPr>
            <w:tcW w:w="1559" w:type="dxa"/>
          </w:tcPr>
          <w:p w:rsidR="00553E62" w:rsidRDefault="00553E62" w:rsidP="00042783">
            <w:r>
              <w:t>48/60    80%</w:t>
            </w:r>
          </w:p>
        </w:tc>
        <w:tc>
          <w:tcPr>
            <w:tcW w:w="1559" w:type="dxa"/>
          </w:tcPr>
          <w:p w:rsidR="00553E62" w:rsidRDefault="00670EB5" w:rsidP="00042783">
            <w:r>
              <w:t>74%  (75%)</w:t>
            </w:r>
          </w:p>
        </w:tc>
      </w:tr>
      <w:tr w:rsidR="00553E62" w:rsidTr="00844C52">
        <w:tc>
          <w:tcPr>
            <w:tcW w:w="4786" w:type="dxa"/>
            <w:vAlign w:val="center"/>
          </w:tcPr>
          <w:p w:rsidR="00553E62" w:rsidRPr="007B387E" w:rsidRDefault="00553E62" w:rsidP="00042783">
            <w:pPr>
              <w:rPr>
                <w:b/>
              </w:rPr>
            </w:pPr>
            <w:r>
              <w:rPr>
                <w:b/>
              </w:rPr>
              <w:t>Reading at a higher level of attainment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21.1%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23.8%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30.5%  (18/58)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24.8% (25.2%)</w:t>
            </w:r>
          </w:p>
        </w:tc>
        <w:tc>
          <w:tcPr>
            <w:tcW w:w="1559" w:type="dxa"/>
          </w:tcPr>
          <w:p w:rsidR="00553E62" w:rsidRDefault="00553E62" w:rsidP="00042783">
            <w:r>
              <w:t>18/60    30%</w:t>
            </w:r>
          </w:p>
        </w:tc>
        <w:tc>
          <w:tcPr>
            <w:tcW w:w="1559" w:type="dxa"/>
          </w:tcPr>
          <w:p w:rsidR="00553E62" w:rsidRDefault="00670EB5" w:rsidP="00042783">
            <w:r>
              <w:t>26.5%  (25.7%)</w:t>
            </w:r>
          </w:p>
        </w:tc>
      </w:tr>
      <w:tr w:rsidR="00553E62" w:rsidTr="00844C52">
        <w:tc>
          <w:tcPr>
            <w:tcW w:w="4786" w:type="dxa"/>
            <w:vAlign w:val="center"/>
          </w:tcPr>
          <w:p w:rsidR="00553E62" w:rsidRPr="007B387E" w:rsidRDefault="00553E62" w:rsidP="00042783">
            <w:pPr>
              <w:rPr>
                <w:b/>
              </w:rPr>
            </w:pPr>
            <w:r w:rsidRPr="007B387E">
              <w:rPr>
                <w:b/>
              </w:rPr>
              <w:t>Writing</w:t>
            </w:r>
            <w:r>
              <w:rPr>
                <w:b/>
              </w:rPr>
              <w:t xml:space="preserve"> at the expected standard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78.9%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65.5%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76.3%  (45/58)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64.4%  (68.2%)</w:t>
            </w:r>
          </w:p>
        </w:tc>
        <w:tc>
          <w:tcPr>
            <w:tcW w:w="1559" w:type="dxa"/>
          </w:tcPr>
          <w:p w:rsidR="00553E62" w:rsidRDefault="00553E62" w:rsidP="00042783">
            <w:r>
              <w:t>46/60    77%</w:t>
            </w:r>
          </w:p>
        </w:tc>
        <w:tc>
          <w:tcPr>
            <w:tcW w:w="1559" w:type="dxa"/>
          </w:tcPr>
          <w:p w:rsidR="00553E62" w:rsidRDefault="00670EB5" w:rsidP="00042783">
            <w:r>
              <w:t>68%  (70%)</w:t>
            </w:r>
          </w:p>
        </w:tc>
      </w:tr>
      <w:tr w:rsidR="00553E62" w:rsidTr="00844C52">
        <w:tc>
          <w:tcPr>
            <w:tcW w:w="4786" w:type="dxa"/>
            <w:vAlign w:val="center"/>
          </w:tcPr>
          <w:p w:rsidR="00553E62" w:rsidRPr="007B387E" w:rsidRDefault="00553E62" w:rsidP="00042783">
            <w:pPr>
              <w:rPr>
                <w:b/>
              </w:rPr>
            </w:pPr>
            <w:r>
              <w:rPr>
                <w:b/>
              </w:rPr>
              <w:t>Writing at a higher level of attainment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15.6%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13.3%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18.6%  (11/58)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14% ( 15.6%)</w:t>
            </w:r>
          </w:p>
        </w:tc>
        <w:tc>
          <w:tcPr>
            <w:tcW w:w="1559" w:type="dxa"/>
          </w:tcPr>
          <w:p w:rsidR="00553E62" w:rsidRDefault="00553E62" w:rsidP="00042783">
            <w:r>
              <w:t>11/60     18%</w:t>
            </w:r>
          </w:p>
        </w:tc>
        <w:tc>
          <w:tcPr>
            <w:tcW w:w="1559" w:type="dxa"/>
          </w:tcPr>
          <w:p w:rsidR="00553E62" w:rsidRDefault="00670EB5" w:rsidP="00042783">
            <w:r>
              <w:t>15.7%(15.9%)</w:t>
            </w:r>
          </w:p>
        </w:tc>
      </w:tr>
      <w:tr w:rsidR="00553E62" w:rsidTr="00844C52">
        <w:tc>
          <w:tcPr>
            <w:tcW w:w="4786" w:type="dxa"/>
            <w:vAlign w:val="center"/>
          </w:tcPr>
          <w:p w:rsidR="00553E62" w:rsidRPr="007B387E" w:rsidRDefault="00553E62" w:rsidP="00042783">
            <w:pPr>
              <w:rPr>
                <w:b/>
              </w:rPr>
            </w:pPr>
            <w:r w:rsidRPr="007B387E">
              <w:rPr>
                <w:b/>
              </w:rPr>
              <w:t>Maths</w:t>
            </w:r>
            <w:r>
              <w:rPr>
                <w:b/>
              </w:rPr>
              <w:t xml:space="preserve"> at the expected standard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78.9%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72.6%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81.4%  (48/58)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73.5%  (75%)</w:t>
            </w:r>
          </w:p>
        </w:tc>
        <w:tc>
          <w:tcPr>
            <w:tcW w:w="1559" w:type="dxa"/>
          </w:tcPr>
          <w:p w:rsidR="00553E62" w:rsidRDefault="00553E62" w:rsidP="00042783">
            <w:r>
              <w:t>49/60     82%</w:t>
            </w:r>
          </w:p>
        </w:tc>
        <w:tc>
          <w:tcPr>
            <w:tcW w:w="1559" w:type="dxa"/>
          </w:tcPr>
          <w:p w:rsidR="00553E62" w:rsidRDefault="00670EB5" w:rsidP="00042783">
            <w:r>
              <w:t>75%(76%)</w:t>
            </w:r>
          </w:p>
        </w:tc>
      </w:tr>
      <w:tr w:rsidR="00553E62" w:rsidTr="00844C52">
        <w:tc>
          <w:tcPr>
            <w:tcW w:w="4786" w:type="dxa"/>
            <w:vAlign w:val="center"/>
          </w:tcPr>
          <w:p w:rsidR="00553E62" w:rsidRPr="007B387E" w:rsidRDefault="00553E62" w:rsidP="00042783">
            <w:pPr>
              <w:rPr>
                <w:b/>
              </w:rPr>
            </w:pPr>
            <w:r>
              <w:rPr>
                <w:b/>
              </w:rPr>
              <w:t>Maths at a high level of attainment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17.8%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17.8%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15.3%  (9/58)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19.4% (20.5%)</w:t>
            </w:r>
          </w:p>
        </w:tc>
        <w:tc>
          <w:tcPr>
            <w:tcW w:w="1559" w:type="dxa"/>
          </w:tcPr>
          <w:p w:rsidR="00553E62" w:rsidRDefault="00553E62" w:rsidP="00042783">
            <w:r>
              <w:t>17/60     28%</w:t>
            </w:r>
          </w:p>
        </w:tc>
        <w:tc>
          <w:tcPr>
            <w:tcW w:w="1559" w:type="dxa"/>
          </w:tcPr>
          <w:p w:rsidR="00553E62" w:rsidRDefault="00670EB5" w:rsidP="00042783">
            <w:r>
              <w:t>21.7%(21.8%)</w:t>
            </w:r>
          </w:p>
        </w:tc>
      </w:tr>
      <w:tr w:rsidR="00553E62" w:rsidTr="00844C52">
        <w:tc>
          <w:tcPr>
            <w:tcW w:w="4786" w:type="dxa"/>
            <w:vAlign w:val="center"/>
          </w:tcPr>
          <w:p w:rsidR="00553E62" w:rsidRDefault="00553E62" w:rsidP="00042783">
            <w:pPr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86.7%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81.8%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88.1% (51/58)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81.5% (82.6%)</w:t>
            </w:r>
          </w:p>
        </w:tc>
        <w:tc>
          <w:tcPr>
            <w:tcW w:w="1559" w:type="dxa"/>
          </w:tcPr>
          <w:p w:rsidR="00553E62" w:rsidRDefault="00187E85" w:rsidP="00042783">
            <w:r>
              <w:t>52/60      87%</w:t>
            </w:r>
          </w:p>
        </w:tc>
        <w:tc>
          <w:tcPr>
            <w:tcW w:w="1559" w:type="dxa"/>
          </w:tcPr>
          <w:p w:rsidR="00553E62" w:rsidRDefault="00553E62" w:rsidP="00042783"/>
        </w:tc>
      </w:tr>
      <w:tr w:rsidR="00553E62" w:rsidTr="00844C52">
        <w:tc>
          <w:tcPr>
            <w:tcW w:w="4786" w:type="dxa"/>
            <w:vAlign w:val="center"/>
          </w:tcPr>
          <w:p w:rsidR="00553E62" w:rsidRDefault="00553E62" w:rsidP="00042783">
            <w:pPr>
              <w:rPr>
                <w:b/>
              </w:rPr>
            </w:pPr>
            <w:r>
              <w:rPr>
                <w:b/>
              </w:rPr>
              <w:t>Reading, Writing and Maths combined at the expected standard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71.1%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60.3%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67.8% (38/58)</w:t>
            </w:r>
          </w:p>
        </w:tc>
        <w:tc>
          <w:tcPr>
            <w:tcW w:w="1559" w:type="dxa"/>
            <w:vAlign w:val="center"/>
          </w:tcPr>
          <w:p w:rsidR="00553E62" w:rsidRDefault="00553E62" w:rsidP="006A3AAC">
            <w:r>
              <w:t>59.8% (63.7%)</w:t>
            </w:r>
          </w:p>
        </w:tc>
        <w:tc>
          <w:tcPr>
            <w:tcW w:w="1559" w:type="dxa"/>
          </w:tcPr>
          <w:p w:rsidR="00553E62" w:rsidRDefault="00A6409E" w:rsidP="006A3AAC">
            <w:r>
              <w:t>41/60     68%</w:t>
            </w:r>
          </w:p>
        </w:tc>
        <w:tc>
          <w:tcPr>
            <w:tcW w:w="1559" w:type="dxa"/>
          </w:tcPr>
          <w:p w:rsidR="00553E62" w:rsidRDefault="00670EB5" w:rsidP="006A3AAC">
            <w:r>
              <w:t>63,5%(65.4%)</w:t>
            </w:r>
          </w:p>
        </w:tc>
      </w:tr>
      <w:tr w:rsidR="00553E62" w:rsidTr="00844C52">
        <w:tc>
          <w:tcPr>
            <w:tcW w:w="4786" w:type="dxa"/>
            <w:vAlign w:val="center"/>
          </w:tcPr>
          <w:p w:rsidR="00553E62" w:rsidRDefault="00553E62" w:rsidP="00042783">
            <w:pPr>
              <w:rPr>
                <w:b/>
              </w:rPr>
            </w:pPr>
            <w:r>
              <w:rPr>
                <w:b/>
              </w:rPr>
              <w:t>Reading, Writing and Maths combined at a higher level of attainment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13.3%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8.9%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10.2% (6/58)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9.7% (10.9%)</w:t>
            </w:r>
          </w:p>
        </w:tc>
        <w:tc>
          <w:tcPr>
            <w:tcW w:w="1559" w:type="dxa"/>
          </w:tcPr>
          <w:p w:rsidR="00553E62" w:rsidRDefault="00A6409E" w:rsidP="00042783">
            <w:r>
              <w:t>9/60      15%</w:t>
            </w:r>
          </w:p>
        </w:tc>
        <w:tc>
          <w:tcPr>
            <w:tcW w:w="1559" w:type="dxa"/>
          </w:tcPr>
          <w:p w:rsidR="00553E62" w:rsidRDefault="00670EB5" w:rsidP="00042783">
            <w:r>
              <w:t>11.1%(11.7%)</w:t>
            </w:r>
          </w:p>
        </w:tc>
      </w:tr>
      <w:tr w:rsidR="00553E62" w:rsidTr="00844C52">
        <w:tc>
          <w:tcPr>
            <w:tcW w:w="4786" w:type="dxa"/>
            <w:vAlign w:val="center"/>
          </w:tcPr>
          <w:p w:rsidR="00553E62" w:rsidRDefault="00553E62" w:rsidP="00042783">
            <w:pPr>
              <w:rPr>
                <w:b/>
              </w:rPr>
            </w:pPr>
            <w:r>
              <w:rPr>
                <w:b/>
              </w:rPr>
              <w:t>Reading, Writing, Maths and Science combined at the expected standard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70%</w:t>
            </w:r>
          </w:p>
        </w:tc>
        <w:tc>
          <w:tcPr>
            <w:tcW w:w="1701" w:type="dxa"/>
            <w:vAlign w:val="center"/>
          </w:tcPr>
          <w:p w:rsidR="00553E62" w:rsidRDefault="00553E62" w:rsidP="00042783">
            <w:r>
              <w:t>59.8%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67.8% (38/58)</w:t>
            </w:r>
          </w:p>
        </w:tc>
        <w:tc>
          <w:tcPr>
            <w:tcW w:w="1559" w:type="dxa"/>
            <w:vAlign w:val="center"/>
          </w:tcPr>
          <w:p w:rsidR="00553E62" w:rsidRDefault="00553E62" w:rsidP="00042783">
            <w:r>
              <w:t>59.4% (63.3%)</w:t>
            </w:r>
          </w:p>
        </w:tc>
        <w:tc>
          <w:tcPr>
            <w:tcW w:w="1559" w:type="dxa"/>
          </w:tcPr>
          <w:p w:rsidR="00553E62" w:rsidRDefault="003C0C59" w:rsidP="00042783">
            <w:r>
              <w:t>41/60     68%</w:t>
            </w:r>
          </w:p>
        </w:tc>
        <w:tc>
          <w:tcPr>
            <w:tcW w:w="1559" w:type="dxa"/>
          </w:tcPr>
          <w:p w:rsidR="00553E62" w:rsidRDefault="00553E62" w:rsidP="00042783"/>
        </w:tc>
      </w:tr>
    </w:tbl>
    <w:p w:rsidR="00670EB5" w:rsidRDefault="00670EB5" w:rsidP="00777DCD"/>
    <w:p w:rsidR="00670EB5" w:rsidRDefault="00670EB5" w:rsidP="00777DCD"/>
    <w:p w:rsidR="00670EB5" w:rsidRDefault="00670EB5" w:rsidP="00777DCD"/>
    <w:p w:rsidR="00670EB5" w:rsidRDefault="00670EB5" w:rsidP="00777DCD"/>
    <w:p w:rsidR="007B387E" w:rsidRPr="00D7163E" w:rsidRDefault="00042783" w:rsidP="00777DCD">
      <w:pPr>
        <w:rPr>
          <w:b/>
        </w:rPr>
      </w:pPr>
      <w:r>
        <w:rPr>
          <w:b/>
        </w:rPr>
        <w:t xml:space="preserve">In 2016, </w:t>
      </w:r>
      <w:r w:rsidR="00392DCB" w:rsidRPr="00D7163E">
        <w:rPr>
          <w:b/>
        </w:rPr>
        <w:t>93.3% of year 2 pupils passed their phonics by the end of year 2 as oppo</w:t>
      </w:r>
      <w:r w:rsidR="00454843">
        <w:rPr>
          <w:b/>
        </w:rPr>
        <w:t>sed to 66.7% of pupils by the en</w:t>
      </w:r>
      <w:r w:rsidR="00392DCB" w:rsidRPr="00D7163E">
        <w:rPr>
          <w:b/>
        </w:rPr>
        <w:t>d of year 2 nationally.</w:t>
      </w:r>
      <w:r w:rsidR="00777DCD" w:rsidRPr="00D7163E">
        <w:rPr>
          <w:b/>
        </w:rPr>
        <w:t xml:space="preserve"> </w:t>
      </w:r>
    </w:p>
    <w:p w:rsidR="00777DCD" w:rsidRDefault="00042783" w:rsidP="00777DCD">
      <w:pPr>
        <w:rPr>
          <w:b/>
        </w:rPr>
      </w:pPr>
      <w:r w:rsidRPr="00042783">
        <w:rPr>
          <w:b/>
        </w:rPr>
        <w:t xml:space="preserve">In 2017, </w:t>
      </w:r>
      <w:r w:rsidR="00947EED">
        <w:rPr>
          <w:b/>
        </w:rPr>
        <w:t>100%</w:t>
      </w:r>
      <w:r w:rsidR="00947EED" w:rsidRPr="00947EED">
        <w:rPr>
          <w:b/>
        </w:rPr>
        <w:t xml:space="preserve"> </w:t>
      </w:r>
      <w:r w:rsidR="00947EED" w:rsidRPr="00D7163E">
        <w:rPr>
          <w:b/>
        </w:rPr>
        <w:t>of year 2 pupils passed their phonics by the end of year 2</w:t>
      </w:r>
      <w:r w:rsidR="00947EED">
        <w:rPr>
          <w:b/>
        </w:rPr>
        <w:t xml:space="preserve"> (4/4 passed in year 2)</w:t>
      </w:r>
    </w:p>
    <w:p w:rsidR="00670EB5" w:rsidRDefault="00F47FEA" w:rsidP="00F47FEA">
      <w:pPr>
        <w:rPr>
          <w:rFonts w:eastAsia="Times New Roman" w:cs="Segoe UI"/>
          <w:sz w:val="20"/>
        </w:rPr>
      </w:pPr>
      <w:r>
        <w:rPr>
          <w:b/>
        </w:rPr>
        <w:t>In 2018  92%   (55/60) passed by the end of year 2  (</w:t>
      </w:r>
      <w:r>
        <w:rPr>
          <w:rFonts w:eastAsia="Times New Roman" w:cs="Segoe UI"/>
          <w:sz w:val="20"/>
        </w:rPr>
        <w:t>9 retook phonics screening in year 2 and 4 passed (44%))</w:t>
      </w:r>
    </w:p>
    <w:p w:rsidR="00AD24F7" w:rsidRPr="00042783" w:rsidRDefault="00AD24F7" w:rsidP="00777DCD">
      <w:pPr>
        <w:rPr>
          <w:b/>
        </w:rPr>
      </w:pPr>
    </w:p>
    <w:p w:rsidR="00670EB5" w:rsidRDefault="00670EB5" w:rsidP="00777DCD">
      <w:pPr>
        <w:jc w:val="center"/>
        <w:rPr>
          <w:b/>
          <w:sz w:val="26"/>
        </w:rPr>
      </w:pPr>
    </w:p>
    <w:p w:rsidR="00670EB5" w:rsidRDefault="00670EB5" w:rsidP="00777DCD">
      <w:pPr>
        <w:jc w:val="center"/>
        <w:rPr>
          <w:b/>
          <w:sz w:val="26"/>
        </w:rPr>
      </w:pPr>
    </w:p>
    <w:p w:rsidR="00670EB5" w:rsidRDefault="00670EB5" w:rsidP="00777DCD">
      <w:pPr>
        <w:jc w:val="center"/>
        <w:rPr>
          <w:b/>
          <w:sz w:val="26"/>
        </w:rPr>
      </w:pPr>
    </w:p>
    <w:p w:rsidR="00777DCD" w:rsidRPr="00D7163E" w:rsidRDefault="00777DCD" w:rsidP="00777DCD">
      <w:pPr>
        <w:jc w:val="center"/>
        <w:rPr>
          <w:b/>
          <w:sz w:val="26"/>
        </w:rPr>
      </w:pPr>
      <w:r w:rsidRPr="00D7163E">
        <w:rPr>
          <w:b/>
          <w:sz w:val="26"/>
        </w:rPr>
        <w:t>COMPARATIVE REPORT KEY STAGE TWO</w:t>
      </w:r>
    </w:p>
    <w:p w:rsidR="00777DCD" w:rsidRPr="00C34CEB" w:rsidRDefault="00777DCD" w:rsidP="00777DCD">
      <w:r>
        <w:t xml:space="preserve">This </w:t>
      </w:r>
      <w:r w:rsidR="00670EB5">
        <w:t xml:space="preserve">next </w:t>
      </w:r>
      <w:r>
        <w:t xml:space="preserve">table shows the </w:t>
      </w:r>
      <w:r w:rsidRPr="00392DCB">
        <w:t>percentage (rounded)</w:t>
      </w:r>
      <w:r>
        <w:t xml:space="preserve"> of year 6 pup</w:t>
      </w:r>
      <w:r w:rsidR="007B387E">
        <w:t>ils achievi</w:t>
      </w:r>
      <w:r w:rsidR="00552EF2">
        <w:t xml:space="preserve">ng the expected standard </w:t>
      </w:r>
      <w:r w:rsidR="009675F4">
        <w:t>2016-2018</w:t>
      </w:r>
      <w:r>
        <w:t>, compared</w:t>
      </w:r>
      <w:r w:rsidR="007B387E">
        <w:t xml:space="preserve"> to the </w:t>
      </w:r>
      <w:r w:rsidR="00670EB5">
        <w:t xml:space="preserve">LA and </w:t>
      </w:r>
      <w:r w:rsidR="00392DCB">
        <w:t>National</w:t>
      </w:r>
      <w:r w:rsidR="007B387E">
        <w:t xml:space="preserve"> percentage</w:t>
      </w:r>
      <w:r w:rsidR="00670EB5">
        <w:t>s</w:t>
      </w:r>
      <w:r w:rsidR="007B387E">
        <w:t>.</w:t>
      </w:r>
      <w:r w:rsidR="00392DCB">
        <w:t xml:space="preserve"> </w:t>
      </w:r>
      <w:r w:rsidR="00552EF2">
        <w:rPr>
          <w:b/>
          <w:i/>
        </w:rPr>
        <w:t>2016</w:t>
      </w:r>
      <w:r w:rsidR="00392DCB" w:rsidRPr="00392DCB">
        <w:rPr>
          <w:b/>
          <w:i/>
        </w:rPr>
        <w:t xml:space="preserve"> results must be seen in the light of a cohort who came from significantly lower baselines but who from those baselines, have made progress that is not significantly different to </w:t>
      </w:r>
      <w:r w:rsidR="00392DCB">
        <w:rPr>
          <w:b/>
          <w:i/>
        </w:rPr>
        <w:t>National</w:t>
      </w:r>
      <w:r w:rsidR="00392DCB" w:rsidRPr="00392DCB">
        <w:rPr>
          <w:b/>
          <w:i/>
        </w:rPr>
        <w:t xml:space="preserve"> progress rates.</w:t>
      </w:r>
    </w:p>
    <w:p w:rsidR="00777DCD" w:rsidRDefault="00777DCD" w:rsidP="00777DC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1068"/>
        <w:gridCol w:w="1417"/>
        <w:gridCol w:w="1105"/>
        <w:gridCol w:w="1486"/>
        <w:gridCol w:w="2435"/>
        <w:gridCol w:w="2345"/>
        <w:gridCol w:w="2364"/>
      </w:tblGrid>
      <w:tr w:rsidR="0003774C" w:rsidTr="0003774C">
        <w:tc>
          <w:tcPr>
            <w:tcW w:w="3546" w:type="dxa"/>
          </w:tcPr>
          <w:p w:rsidR="0003774C" w:rsidRPr="00C809B7" w:rsidRDefault="0003774C" w:rsidP="00D5178C">
            <w:pPr>
              <w:rPr>
                <w:b/>
              </w:rPr>
            </w:pPr>
            <w:r w:rsidRPr="00C809B7">
              <w:rPr>
                <w:b/>
              </w:rPr>
              <w:t>Attainment</w:t>
            </w:r>
          </w:p>
        </w:tc>
        <w:tc>
          <w:tcPr>
            <w:tcW w:w="1076" w:type="dxa"/>
          </w:tcPr>
          <w:p w:rsidR="0003774C" w:rsidRPr="007B387E" w:rsidRDefault="0003774C" w:rsidP="00D5178C">
            <w:pPr>
              <w:rPr>
                <w:b/>
              </w:rPr>
            </w:pPr>
            <w:r w:rsidRPr="007B387E">
              <w:rPr>
                <w:b/>
              </w:rPr>
              <w:t xml:space="preserve">School </w:t>
            </w:r>
            <w:r>
              <w:rPr>
                <w:b/>
              </w:rPr>
              <w:t xml:space="preserve"> 2016</w:t>
            </w:r>
          </w:p>
        </w:tc>
        <w:tc>
          <w:tcPr>
            <w:tcW w:w="1417" w:type="dxa"/>
          </w:tcPr>
          <w:p w:rsidR="0003774C" w:rsidRPr="007B387E" w:rsidRDefault="0003774C" w:rsidP="00D5178C">
            <w:pPr>
              <w:rPr>
                <w:b/>
              </w:rPr>
            </w:pPr>
            <w:r>
              <w:rPr>
                <w:b/>
              </w:rPr>
              <w:t>National 2016</w:t>
            </w:r>
          </w:p>
        </w:tc>
        <w:tc>
          <w:tcPr>
            <w:tcW w:w="1114" w:type="dxa"/>
          </w:tcPr>
          <w:p w:rsidR="0003774C" w:rsidRPr="007B387E" w:rsidRDefault="0003774C" w:rsidP="002A3A60">
            <w:pPr>
              <w:rPr>
                <w:b/>
              </w:rPr>
            </w:pPr>
            <w:r>
              <w:rPr>
                <w:b/>
              </w:rPr>
              <w:t>School TA 2017</w:t>
            </w:r>
          </w:p>
        </w:tc>
        <w:tc>
          <w:tcPr>
            <w:tcW w:w="1508" w:type="dxa"/>
          </w:tcPr>
          <w:p w:rsidR="0003774C" w:rsidRPr="007B387E" w:rsidRDefault="0003774C" w:rsidP="002A3A60">
            <w:pPr>
              <w:rPr>
                <w:b/>
              </w:rPr>
            </w:pPr>
            <w:r w:rsidRPr="007B387E">
              <w:rPr>
                <w:b/>
              </w:rPr>
              <w:t xml:space="preserve">School </w:t>
            </w:r>
            <w:r>
              <w:rPr>
                <w:b/>
              </w:rPr>
              <w:t xml:space="preserve"> 2017</w:t>
            </w:r>
          </w:p>
        </w:tc>
        <w:tc>
          <w:tcPr>
            <w:tcW w:w="2469" w:type="dxa"/>
          </w:tcPr>
          <w:p w:rsidR="0003774C" w:rsidRPr="007B387E" w:rsidRDefault="0003774C" w:rsidP="0003774C">
            <w:pPr>
              <w:rPr>
                <w:b/>
              </w:rPr>
            </w:pPr>
            <w:r>
              <w:rPr>
                <w:b/>
              </w:rPr>
              <w:t xml:space="preserve">LA     (National 2017 – </w:t>
            </w:r>
          </w:p>
        </w:tc>
        <w:tc>
          <w:tcPr>
            <w:tcW w:w="2395" w:type="dxa"/>
          </w:tcPr>
          <w:p w:rsidR="0003774C" w:rsidRDefault="0003774C" w:rsidP="002A3A60">
            <w:pPr>
              <w:rPr>
                <w:b/>
              </w:rPr>
            </w:pPr>
            <w:r>
              <w:rPr>
                <w:b/>
              </w:rPr>
              <w:t>School 2018</w:t>
            </w:r>
          </w:p>
          <w:p w:rsidR="0084379C" w:rsidRDefault="00EF0CF8" w:rsidP="002A3A60">
            <w:pPr>
              <w:rPr>
                <w:b/>
              </w:rPr>
            </w:pPr>
            <w:r>
              <w:rPr>
                <w:b/>
              </w:rPr>
              <w:t>Cohort of 55 – results below from the 55 who took the SATS)</w:t>
            </w:r>
          </w:p>
        </w:tc>
        <w:tc>
          <w:tcPr>
            <w:tcW w:w="2395" w:type="dxa"/>
          </w:tcPr>
          <w:p w:rsidR="0003774C" w:rsidRDefault="0003774C" w:rsidP="002A3A60">
            <w:pPr>
              <w:rPr>
                <w:b/>
              </w:rPr>
            </w:pPr>
            <w:r>
              <w:rPr>
                <w:b/>
              </w:rPr>
              <w:t>LA (National)</w:t>
            </w:r>
          </w:p>
          <w:p w:rsidR="00670EB5" w:rsidRDefault="00670EB5" w:rsidP="002A3A60">
            <w:pPr>
              <w:rPr>
                <w:b/>
              </w:rPr>
            </w:pPr>
          </w:p>
          <w:p w:rsidR="00670EB5" w:rsidRDefault="00670EB5" w:rsidP="002A3A60">
            <w:pPr>
              <w:rPr>
                <w:b/>
              </w:rPr>
            </w:pPr>
            <w:r>
              <w:rPr>
                <w:b/>
              </w:rPr>
              <w:t>provisional</w:t>
            </w:r>
          </w:p>
        </w:tc>
      </w:tr>
      <w:tr w:rsidR="0003774C" w:rsidTr="0003774C">
        <w:tc>
          <w:tcPr>
            <w:tcW w:w="3546" w:type="dxa"/>
          </w:tcPr>
          <w:p w:rsidR="0003774C" w:rsidRPr="007B387E" w:rsidRDefault="0003774C" w:rsidP="00D5178C">
            <w:pPr>
              <w:rPr>
                <w:b/>
              </w:rPr>
            </w:pPr>
            <w:r w:rsidRPr="007B387E">
              <w:rPr>
                <w:b/>
              </w:rPr>
              <w:t>Reading</w:t>
            </w:r>
            <w:r>
              <w:rPr>
                <w:b/>
              </w:rPr>
              <w:t xml:space="preserve"> at the expected standard</w:t>
            </w:r>
          </w:p>
        </w:tc>
        <w:tc>
          <w:tcPr>
            <w:tcW w:w="1076" w:type="dxa"/>
          </w:tcPr>
          <w:p w:rsidR="0003774C" w:rsidRDefault="0003774C" w:rsidP="00D5178C">
            <w:r>
              <w:t>44%</w:t>
            </w:r>
          </w:p>
        </w:tc>
        <w:tc>
          <w:tcPr>
            <w:tcW w:w="1417" w:type="dxa"/>
          </w:tcPr>
          <w:p w:rsidR="0003774C" w:rsidRDefault="0003774C" w:rsidP="00D5178C">
            <w:r>
              <w:t>66%</w:t>
            </w:r>
          </w:p>
        </w:tc>
        <w:tc>
          <w:tcPr>
            <w:tcW w:w="1114" w:type="dxa"/>
          </w:tcPr>
          <w:p w:rsidR="0003774C" w:rsidRDefault="0003774C" w:rsidP="00D5178C">
            <w:r>
              <w:t>45/57  79%</w:t>
            </w:r>
          </w:p>
        </w:tc>
        <w:tc>
          <w:tcPr>
            <w:tcW w:w="1508" w:type="dxa"/>
          </w:tcPr>
          <w:p w:rsidR="0003774C" w:rsidRDefault="0003774C" w:rsidP="00D5178C">
            <w:r>
              <w:t>51/57  89.5%</w:t>
            </w:r>
          </w:p>
        </w:tc>
        <w:tc>
          <w:tcPr>
            <w:tcW w:w="2469" w:type="dxa"/>
          </w:tcPr>
          <w:p w:rsidR="0003774C" w:rsidRDefault="0003774C" w:rsidP="00D5178C">
            <w:r>
              <w:t>72.4%     (71.5%)</w:t>
            </w:r>
          </w:p>
        </w:tc>
        <w:tc>
          <w:tcPr>
            <w:tcW w:w="2395" w:type="dxa"/>
          </w:tcPr>
          <w:p w:rsidR="00E161C2" w:rsidRDefault="00E161C2" w:rsidP="00D5178C">
            <w:r>
              <w:t>41/55           75%</w:t>
            </w:r>
          </w:p>
        </w:tc>
        <w:tc>
          <w:tcPr>
            <w:tcW w:w="2395" w:type="dxa"/>
          </w:tcPr>
          <w:p w:rsidR="0003774C" w:rsidRDefault="00670EB5" w:rsidP="00D5178C">
            <w:r>
              <w:t>74.5% (75%)</w:t>
            </w:r>
          </w:p>
        </w:tc>
      </w:tr>
      <w:tr w:rsidR="0003774C" w:rsidTr="0003774C">
        <w:tc>
          <w:tcPr>
            <w:tcW w:w="3546" w:type="dxa"/>
          </w:tcPr>
          <w:p w:rsidR="0003774C" w:rsidRPr="007B387E" w:rsidRDefault="0003774C" w:rsidP="00D5178C">
            <w:pPr>
              <w:rPr>
                <w:b/>
              </w:rPr>
            </w:pPr>
            <w:r>
              <w:rPr>
                <w:b/>
              </w:rPr>
              <w:t>Reading at greater depth</w:t>
            </w:r>
          </w:p>
        </w:tc>
        <w:tc>
          <w:tcPr>
            <w:tcW w:w="1076" w:type="dxa"/>
          </w:tcPr>
          <w:p w:rsidR="0003774C" w:rsidRDefault="0003774C" w:rsidP="00D5178C">
            <w:r>
              <w:t>14%</w:t>
            </w:r>
          </w:p>
        </w:tc>
        <w:tc>
          <w:tcPr>
            <w:tcW w:w="1417" w:type="dxa"/>
          </w:tcPr>
          <w:p w:rsidR="0003774C" w:rsidRDefault="0003774C" w:rsidP="00D5178C">
            <w:r>
              <w:t>18.6%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3774C" w:rsidRDefault="0003774C" w:rsidP="00D5178C"/>
        </w:tc>
        <w:tc>
          <w:tcPr>
            <w:tcW w:w="1508" w:type="dxa"/>
          </w:tcPr>
          <w:p w:rsidR="0003774C" w:rsidRDefault="0003774C" w:rsidP="00D5178C">
            <w:r>
              <w:t>47.4%</w:t>
            </w:r>
          </w:p>
        </w:tc>
        <w:tc>
          <w:tcPr>
            <w:tcW w:w="2469" w:type="dxa"/>
          </w:tcPr>
          <w:p w:rsidR="0003774C" w:rsidRDefault="0003774C" w:rsidP="00D5178C">
            <w:r>
              <w:t>28.5% (24.4%)</w:t>
            </w:r>
          </w:p>
        </w:tc>
        <w:tc>
          <w:tcPr>
            <w:tcW w:w="2395" w:type="dxa"/>
          </w:tcPr>
          <w:p w:rsidR="0003774C" w:rsidRDefault="00E161C2" w:rsidP="00E161C2">
            <w:r>
              <w:t>25/55           45%</w:t>
            </w:r>
          </w:p>
        </w:tc>
        <w:tc>
          <w:tcPr>
            <w:tcW w:w="2395" w:type="dxa"/>
          </w:tcPr>
          <w:p w:rsidR="0003774C" w:rsidRDefault="00670EB5" w:rsidP="00D5178C">
            <w:r>
              <w:t>30.8%</w:t>
            </w:r>
            <w:r w:rsidR="00E227B8">
              <w:t xml:space="preserve"> </w:t>
            </w:r>
            <w:r>
              <w:t>(27.5%)</w:t>
            </w:r>
          </w:p>
        </w:tc>
      </w:tr>
      <w:tr w:rsidR="0003774C" w:rsidTr="0003774C">
        <w:tc>
          <w:tcPr>
            <w:tcW w:w="3546" w:type="dxa"/>
          </w:tcPr>
          <w:p w:rsidR="0003774C" w:rsidRDefault="0003774C" w:rsidP="00D5178C">
            <w:pPr>
              <w:rPr>
                <w:b/>
              </w:rPr>
            </w:pPr>
            <w:r w:rsidRPr="007B387E">
              <w:rPr>
                <w:b/>
              </w:rPr>
              <w:t>The average scaled score</w:t>
            </w:r>
            <w:r>
              <w:rPr>
                <w:b/>
              </w:rPr>
              <w:t xml:space="preserve"> in Reading</w:t>
            </w:r>
          </w:p>
        </w:tc>
        <w:tc>
          <w:tcPr>
            <w:tcW w:w="1076" w:type="dxa"/>
          </w:tcPr>
          <w:p w:rsidR="0003774C" w:rsidRDefault="0003774C" w:rsidP="00D5178C">
            <w:r>
              <w:t>99</w:t>
            </w:r>
          </w:p>
        </w:tc>
        <w:tc>
          <w:tcPr>
            <w:tcW w:w="1417" w:type="dxa"/>
          </w:tcPr>
          <w:p w:rsidR="0003774C" w:rsidRDefault="0003774C" w:rsidP="00D5178C">
            <w:r>
              <w:t>102.9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3774C" w:rsidRDefault="0003774C" w:rsidP="00D5178C"/>
        </w:tc>
        <w:tc>
          <w:tcPr>
            <w:tcW w:w="1508" w:type="dxa"/>
          </w:tcPr>
          <w:p w:rsidR="0003774C" w:rsidRDefault="0003774C" w:rsidP="00D5178C">
            <w:r>
              <w:t>108.5</w:t>
            </w:r>
          </w:p>
        </w:tc>
        <w:tc>
          <w:tcPr>
            <w:tcW w:w="2469" w:type="dxa"/>
          </w:tcPr>
          <w:p w:rsidR="0003774C" w:rsidRDefault="0003774C" w:rsidP="00D5178C">
            <w:r>
              <w:t>104.6 (104.1)</w:t>
            </w:r>
          </w:p>
        </w:tc>
        <w:tc>
          <w:tcPr>
            <w:tcW w:w="2395" w:type="dxa"/>
          </w:tcPr>
          <w:p w:rsidR="0003774C" w:rsidRDefault="00E161C2" w:rsidP="00D5178C">
            <w:r>
              <w:t>107</w:t>
            </w:r>
          </w:p>
        </w:tc>
        <w:tc>
          <w:tcPr>
            <w:tcW w:w="2395" w:type="dxa"/>
          </w:tcPr>
          <w:p w:rsidR="0003774C" w:rsidRDefault="00F0316A" w:rsidP="00D5178C">
            <w:r>
              <w:t>105 (105)</w:t>
            </w:r>
          </w:p>
        </w:tc>
      </w:tr>
      <w:tr w:rsidR="0003774C" w:rsidTr="0003774C">
        <w:tc>
          <w:tcPr>
            <w:tcW w:w="3546" w:type="dxa"/>
          </w:tcPr>
          <w:p w:rsidR="0003774C" w:rsidRPr="007B387E" w:rsidRDefault="0003774C" w:rsidP="00D5178C">
            <w:pPr>
              <w:rPr>
                <w:b/>
              </w:rPr>
            </w:pPr>
            <w:r w:rsidRPr="007B387E">
              <w:rPr>
                <w:b/>
              </w:rPr>
              <w:t>Writing</w:t>
            </w:r>
            <w:r>
              <w:rPr>
                <w:b/>
              </w:rPr>
              <w:t xml:space="preserve"> at the expected standard</w:t>
            </w:r>
          </w:p>
        </w:tc>
        <w:tc>
          <w:tcPr>
            <w:tcW w:w="1076" w:type="dxa"/>
          </w:tcPr>
          <w:p w:rsidR="0003774C" w:rsidRDefault="0003774C" w:rsidP="00D5178C">
            <w:r>
              <w:t>63.2%</w:t>
            </w:r>
          </w:p>
        </w:tc>
        <w:tc>
          <w:tcPr>
            <w:tcW w:w="1417" w:type="dxa"/>
          </w:tcPr>
          <w:p w:rsidR="0003774C" w:rsidRDefault="0003774C" w:rsidP="00D5178C">
            <w:r>
              <w:t>74%</w:t>
            </w:r>
          </w:p>
        </w:tc>
        <w:tc>
          <w:tcPr>
            <w:tcW w:w="1114" w:type="dxa"/>
          </w:tcPr>
          <w:p w:rsidR="0003774C" w:rsidRDefault="0003774C" w:rsidP="00D5178C">
            <w:r>
              <w:t>47/57   82.5%</w:t>
            </w:r>
          </w:p>
        </w:tc>
        <w:tc>
          <w:tcPr>
            <w:tcW w:w="1508" w:type="dxa"/>
          </w:tcPr>
          <w:p w:rsidR="0003774C" w:rsidRDefault="0003774C" w:rsidP="00D5178C">
            <w:r>
              <w:t>47/57   82.5%</w:t>
            </w:r>
          </w:p>
        </w:tc>
        <w:tc>
          <w:tcPr>
            <w:tcW w:w="2469" w:type="dxa"/>
          </w:tcPr>
          <w:p w:rsidR="0003774C" w:rsidRDefault="0003774C" w:rsidP="00D5178C">
            <w:r>
              <w:t xml:space="preserve">73%  (76.3%) </w:t>
            </w:r>
          </w:p>
        </w:tc>
        <w:tc>
          <w:tcPr>
            <w:tcW w:w="2395" w:type="dxa"/>
          </w:tcPr>
          <w:p w:rsidR="0003774C" w:rsidRDefault="00E161C2" w:rsidP="00E161C2">
            <w:r>
              <w:t>47/55           85%</w:t>
            </w:r>
          </w:p>
        </w:tc>
        <w:tc>
          <w:tcPr>
            <w:tcW w:w="2395" w:type="dxa"/>
          </w:tcPr>
          <w:p w:rsidR="0003774C" w:rsidRDefault="008312FA" w:rsidP="00E161C2">
            <w:r>
              <w:t>74.7% (78.2%)</w:t>
            </w:r>
          </w:p>
        </w:tc>
      </w:tr>
      <w:tr w:rsidR="0003774C" w:rsidTr="0003774C">
        <w:tc>
          <w:tcPr>
            <w:tcW w:w="3546" w:type="dxa"/>
          </w:tcPr>
          <w:p w:rsidR="0003774C" w:rsidRPr="007B387E" w:rsidRDefault="0003774C" w:rsidP="00D5178C">
            <w:pPr>
              <w:rPr>
                <w:b/>
              </w:rPr>
            </w:pPr>
            <w:r>
              <w:rPr>
                <w:b/>
              </w:rPr>
              <w:t>Writing at greater depth</w:t>
            </w:r>
          </w:p>
        </w:tc>
        <w:tc>
          <w:tcPr>
            <w:tcW w:w="1076" w:type="dxa"/>
          </w:tcPr>
          <w:p w:rsidR="0003774C" w:rsidRDefault="0003774C" w:rsidP="00D5178C">
            <w:r>
              <w:t>8.8%</w:t>
            </w:r>
          </w:p>
        </w:tc>
        <w:tc>
          <w:tcPr>
            <w:tcW w:w="1417" w:type="dxa"/>
          </w:tcPr>
          <w:p w:rsidR="0003774C" w:rsidRDefault="0003774C" w:rsidP="00D5178C">
            <w:r>
              <w:t>14.7%</w:t>
            </w:r>
          </w:p>
        </w:tc>
        <w:tc>
          <w:tcPr>
            <w:tcW w:w="1114" w:type="dxa"/>
          </w:tcPr>
          <w:p w:rsidR="0003774C" w:rsidRDefault="0003774C" w:rsidP="00D5178C">
            <w:r>
              <w:t>5/57   8.8%</w:t>
            </w:r>
          </w:p>
        </w:tc>
        <w:tc>
          <w:tcPr>
            <w:tcW w:w="1508" w:type="dxa"/>
          </w:tcPr>
          <w:p w:rsidR="0003774C" w:rsidRDefault="0003774C" w:rsidP="00D5178C">
            <w:r>
              <w:t>8.8%</w:t>
            </w:r>
          </w:p>
        </w:tc>
        <w:tc>
          <w:tcPr>
            <w:tcW w:w="2469" w:type="dxa"/>
          </w:tcPr>
          <w:p w:rsidR="0003774C" w:rsidRDefault="0003774C" w:rsidP="00D5178C">
            <w:r>
              <w:t>14.2%   (17.7%)</w:t>
            </w:r>
          </w:p>
        </w:tc>
        <w:tc>
          <w:tcPr>
            <w:tcW w:w="2395" w:type="dxa"/>
          </w:tcPr>
          <w:p w:rsidR="0003774C" w:rsidRDefault="00E161C2" w:rsidP="00E161C2">
            <w:r>
              <w:t>8/55             15%</w:t>
            </w:r>
          </w:p>
        </w:tc>
        <w:tc>
          <w:tcPr>
            <w:tcW w:w="2395" w:type="dxa"/>
          </w:tcPr>
          <w:p w:rsidR="0003774C" w:rsidRDefault="008312FA" w:rsidP="00D5178C">
            <w:r>
              <w:t>16.3% (19.7%)</w:t>
            </w:r>
          </w:p>
        </w:tc>
      </w:tr>
      <w:tr w:rsidR="0003774C" w:rsidTr="0003774C">
        <w:tc>
          <w:tcPr>
            <w:tcW w:w="3546" w:type="dxa"/>
          </w:tcPr>
          <w:p w:rsidR="0003774C" w:rsidRDefault="0003774C" w:rsidP="00D5178C">
            <w:pPr>
              <w:rPr>
                <w:b/>
              </w:rPr>
            </w:pPr>
            <w:r>
              <w:rPr>
                <w:b/>
              </w:rPr>
              <w:t>Grammar, Punctuation and Spelling at the expected standard</w:t>
            </w:r>
          </w:p>
        </w:tc>
        <w:tc>
          <w:tcPr>
            <w:tcW w:w="1076" w:type="dxa"/>
          </w:tcPr>
          <w:p w:rsidR="0003774C" w:rsidRDefault="0003774C" w:rsidP="00D5178C">
            <w:r>
              <w:t>54%</w:t>
            </w:r>
          </w:p>
        </w:tc>
        <w:tc>
          <w:tcPr>
            <w:tcW w:w="1417" w:type="dxa"/>
          </w:tcPr>
          <w:p w:rsidR="0003774C" w:rsidRDefault="0003774C" w:rsidP="00D5178C">
            <w:r>
              <w:t>72%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3774C" w:rsidRDefault="0003774C" w:rsidP="00D5178C"/>
        </w:tc>
        <w:tc>
          <w:tcPr>
            <w:tcW w:w="1508" w:type="dxa"/>
          </w:tcPr>
          <w:p w:rsidR="0003774C" w:rsidRDefault="0003774C" w:rsidP="00D5178C">
            <w:r>
              <w:t>51/57  89.5%</w:t>
            </w:r>
          </w:p>
        </w:tc>
        <w:tc>
          <w:tcPr>
            <w:tcW w:w="2469" w:type="dxa"/>
          </w:tcPr>
          <w:p w:rsidR="0003774C" w:rsidRDefault="0003774C" w:rsidP="00D5178C">
            <w:r>
              <w:t>74.5%  (76.9%)</w:t>
            </w:r>
          </w:p>
        </w:tc>
        <w:tc>
          <w:tcPr>
            <w:tcW w:w="2395" w:type="dxa"/>
          </w:tcPr>
          <w:p w:rsidR="0003774C" w:rsidRDefault="00361D89" w:rsidP="00361D89">
            <w:r>
              <w:t>45/55           82%</w:t>
            </w:r>
          </w:p>
        </w:tc>
        <w:tc>
          <w:tcPr>
            <w:tcW w:w="2395" w:type="dxa"/>
          </w:tcPr>
          <w:p w:rsidR="0003774C" w:rsidRDefault="00F0316A" w:rsidP="00D5178C">
            <w:r>
              <w:t>75%  (77.7%)</w:t>
            </w:r>
          </w:p>
        </w:tc>
      </w:tr>
      <w:tr w:rsidR="0003774C" w:rsidTr="0003774C">
        <w:tc>
          <w:tcPr>
            <w:tcW w:w="3546" w:type="dxa"/>
          </w:tcPr>
          <w:p w:rsidR="0003774C" w:rsidRDefault="0003774C" w:rsidP="00D5178C">
            <w:pPr>
              <w:rPr>
                <w:b/>
              </w:rPr>
            </w:pPr>
            <w:r>
              <w:rPr>
                <w:b/>
              </w:rPr>
              <w:t>Grammar, Punctuation and Spelling at greater depth</w:t>
            </w:r>
          </w:p>
        </w:tc>
        <w:tc>
          <w:tcPr>
            <w:tcW w:w="1076" w:type="dxa"/>
          </w:tcPr>
          <w:p w:rsidR="0003774C" w:rsidRDefault="0003774C" w:rsidP="00D5178C">
            <w:r>
              <w:t>21%</w:t>
            </w:r>
          </w:p>
        </w:tc>
        <w:tc>
          <w:tcPr>
            <w:tcW w:w="1417" w:type="dxa"/>
          </w:tcPr>
          <w:p w:rsidR="0003774C" w:rsidRDefault="0003774C" w:rsidP="00D5178C">
            <w:r>
              <w:t>22.4%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3774C" w:rsidRDefault="0003774C" w:rsidP="00D5178C"/>
        </w:tc>
        <w:tc>
          <w:tcPr>
            <w:tcW w:w="1508" w:type="dxa"/>
          </w:tcPr>
          <w:p w:rsidR="0003774C" w:rsidRDefault="0003774C" w:rsidP="00D5178C">
            <w:r>
              <w:t>47.4%</w:t>
            </w:r>
          </w:p>
        </w:tc>
        <w:tc>
          <w:tcPr>
            <w:tcW w:w="2469" w:type="dxa"/>
          </w:tcPr>
          <w:p w:rsidR="0003774C" w:rsidRDefault="0003774C" w:rsidP="00D5178C">
            <w:r>
              <w:t>28.3%  (30.8%)</w:t>
            </w:r>
          </w:p>
        </w:tc>
        <w:tc>
          <w:tcPr>
            <w:tcW w:w="2395" w:type="dxa"/>
          </w:tcPr>
          <w:p w:rsidR="0003774C" w:rsidRDefault="00361D89" w:rsidP="00361D89">
            <w:r>
              <w:t>18/55           33%</w:t>
            </w:r>
          </w:p>
        </w:tc>
        <w:tc>
          <w:tcPr>
            <w:tcW w:w="2395" w:type="dxa"/>
          </w:tcPr>
          <w:p w:rsidR="0003774C" w:rsidRDefault="00F0316A" w:rsidP="00D5178C">
            <w:r>
              <w:t>31.5%  (34.4%)</w:t>
            </w:r>
          </w:p>
        </w:tc>
      </w:tr>
      <w:tr w:rsidR="0003774C" w:rsidTr="0003774C">
        <w:tc>
          <w:tcPr>
            <w:tcW w:w="3546" w:type="dxa"/>
          </w:tcPr>
          <w:p w:rsidR="0003774C" w:rsidRDefault="0003774C" w:rsidP="00D5178C">
            <w:pPr>
              <w:rPr>
                <w:b/>
              </w:rPr>
            </w:pPr>
            <w:r w:rsidRPr="007B387E">
              <w:rPr>
                <w:b/>
              </w:rPr>
              <w:t>The average scaled score</w:t>
            </w:r>
            <w:r>
              <w:rPr>
                <w:b/>
              </w:rPr>
              <w:t xml:space="preserve"> in SPAG</w:t>
            </w:r>
          </w:p>
        </w:tc>
        <w:tc>
          <w:tcPr>
            <w:tcW w:w="1076" w:type="dxa"/>
          </w:tcPr>
          <w:p w:rsidR="0003774C" w:rsidRDefault="0003774C" w:rsidP="00D5178C">
            <w:r>
              <w:t>101</w:t>
            </w:r>
          </w:p>
        </w:tc>
        <w:tc>
          <w:tcPr>
            <w:tcW w:w="1417" w:type="dxa"/>
          </w:tcPr>
          <w:p w:rsidR="0003774C" w:rsidRDefault="0003774C" w:rsidP="00D5178C">
            <w:r>
              <w:t>104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3774C" w:rsidRDefault="0003774C" w:rsidP="00D5178C"/>
        </w:tc>
        <w:tc>
          <w:tcPr>
            <w:tcW w:w="1508" w:type="dxa"/>
          </w:tcPr>
          <w:p w:rsidR="0003774C" w:rsidRDefault="0003774C" w:rsidP="00D5178C">
            <w:r>
              <w:t>108.5</w:t>
            </w:r>
          </w:p>
        </w:tc>
        <w:tc>
          <w:tcPr>
            <w:tcW w:w="2469" w:type="dxa"/>
          </w:tcPr>
          <w:p w:rsidR="0003774C" w:rsidRDefault="0003774C" w:rsidP="00D5178C">
            <w:r>
              <w:t>105.3  (106)</w:t>
            </w:r>
          </w:p>
        </w:tc>
        <w:tc>
          <w:tcPr>
            <w:tcW w:w="2395" w:type="dxa"/>
          </w:tcPr>
          <w:p w:rsidR="0003774C" w:rsidRDefault="00E161C2" w:rsidP="00D5178C">
            <w:r>
              <w:t>107</w:t>
            </w:r>
          </w:p>
        </w:tc>
        <w:tc>
          <w:tcPr>
            <w:tcW w:w="2395" w:type="dxa"/>
          </w:tcPr>
          <w:p w:rsidR="0003774C" w:rsidRDefault="00F0316A" w:rsidP="00D5178C">
            <w:r>
              <w:t>106  (106)</w:t>
            </w:r>
          </w:p>
        </w:tc>
      </w:tr>
      <w:tr w:rsidR="0003774C" w:rsidTr="0003774C">
        <w:tc>
          <w:tcPr>
            <w:tcW w:w="3546" w:type="dxa"/>
          </w:tcPr>
          <w:p w:rsidR="0003774C" w:rsidRPr="007B387E" w:rsidRDefault="0003774C" w:rsidP="00D5178C">
            <w:pPr>
              <w:rPr>
                <w:b/>
              </w:rPr>
            </w:pPr>
            <w:r w:rsidRPr="007B387E">
              <w:rPr>
                <w:b/>
              </w:rPr>
              <w:t>Maths</w:t>
            </w:r>
            <w:r>
              <w:rPr>
                <w:b/>
              </w:rPr>
              <w:t xml:space="preserve"> at the expected standard</w:t>
            </w:r>
          </w:p>
        </w:tc>
        <w:tc>
          <w:tcPr>
            <w:tcW w:w="1076" w:type="dxa"/>
          </w:tcPr>
          <w:p w:rsidR="0003774C" w:rsidRDefault="0003774C" w:rsidP="00D5178C">
            <w:r>
              <w:t>54.4%</w:t>
            </w:r>
          </w:p>
        </w:tc>
        <w:tc>
          <w:tcPr>
            <w:tcW w:w="1417" w:type="dxa"/>
          </w:tcPr>
          <w:p w:rsidR="0003774C" w:rsidRDefault="0003774C" w:rsidP="00D5178C">
            <w:r>
              <w:t>69.7%</w:t>
            </w:r>
          </w:p>
        </w:tc>
        <w:tc>
          <w:tcPr>
            <w:tcW w:w="1114" w:type="dxa"/>
            <w:shd w:val="clear" w:color="auto" w:fill="FFFFFF" w:themeFill="background1"/>
          </w:tcPr>
          <w:p w:rsidR="0003774C" w:rsidRDefault="0003774C" w:rsidP="00D5178C">
            <w:r>
              <w:t>45/57   79%</w:t>
            </w:r>
          </w:p>
        </w:tc>
        <w:tc>
          <w:tcPr>
            <w:tcW w:w="1508" w:type="dxa"/>
          </w:tcPr>
          <w:p w:rsidR="0003774C" w:rsidRDefault="0003774C" w:rsidP="00D5178C">
            <w:r>
              <w:t>51/57  89.5%</w:t>
            </w:r>
          </w:p>
        </w:tc>
        <w:tc>
          <w:tcPr>
            <w:tcW w:w="2469" w:type="dxa"/>
          </w:tcPr>
          <w:p w:rsidR="0003774C" w:rsidRDefault="0003774C" w:rsidP="00D5178C">
            <w:r>
              <w:t>72%  (74.8%)</w:t>
            </w:r>
          </w:p>
        </w:tc>
        <w:tc>
          <w:tcPr>
            <w:tcW w:w="2395" w:type="dxa"/>
          </w:tcPr>
          <w:p w:rsidR="0003774C" w:rsidRDefault="00361D89" w:rsidP="00361D89">
            <w:r>
              <w:t>41/55           76%</w:t>
            </w:r>
          </w:p>
        </w:tc>
        <w:tc>
          <w:tcPr>
            <w:tcW w:w="2395" w:type="dxa"/>
          </w:tcPr>
          <w:p w:rsidR="0003774C" w:rsidRDefault="00670EB5" w:rsidP="00D5178C">
            <w:r>
              <w:t>72.1%(75.3%)</w:t>
            </w:r>
          </w:p>
        </w:tc>
      </w:tr>
      <w:tr w:rsidR="0003774C" w:rsidTr="0003774C">
        <w:tc>
          <w:tcPr>
            <w:tcW w:w="3546" w:type="dxa"/>
          </w:tcPr>
          <w:p w:rsidR="0003774C" w:rsidRPr="007B387E" w:rsidRDefault="0003774C" w:rsidP="00D5178C">
            <w:pPr>
              <w:rPr>
                <w:b/>
              </w:rPr>
            </w:pPr>
            <w:r>
              <w:rPr>
                <w:b/>
              </w:rPr>
              <w:t>Maths at greater depth</w:t>
            </w:r>
          </w:p>
        </w:tc>
        <w:tc>
          <w:tcPr>
            <w:tcW w:w="1076" w:type="dxa"/>
          </w:tcPr>
          <w:p w:rsidR="0003774C" w:rsidRDefault="0003774C" w:rsidP="00D5178C">
            <w:r>
              <w:t>17.5%</w:t>
            </w:r>
          </w:p>
        </w:tc>
        <w:tc>
          <w:tcPr>
            <w:tcW w:w="1417" w:type="dxa"/>
          </w:tcPr>
          <w:p w:rsidR="0003774C" w:rsidRDefault="0003774C" w:rsidP="00D5178C">
            <w:r>
              <w:t>16.8%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3774C" w:rsidRDefault="0003774C" w:rsidP="00D5178C"/>
        </w:tc>
        <w:tc>
          <w:tcPr>
            <w:tcW w:w="1508" w:type="dxa"/>
          </w:tcPr>
          <w:p w:rsidR="0003774C" w:rsidRDefault="0003774C" w:rsidP="00D5178C">
            <w:r>
              <w:t>36.8%</w:t>
            </w:r>
          </w:p>
        </w:tc>
        <w:tc>
          <w:tcPr>
            <w:tcW w:w="2469" w:type="dxa"/>
          </w:tcPr>
          <w:p w:rsidR="0003774C" w:rsidRDefault="0003774C" w:rsidP="00D5178C">
            <w:r>
              <w:t>21.7%  (22.5%)</w:t>
            </w:r>
          </w:p>
        </w:tc>
        <w:tc>
          <w:tcPr>
            <w:tcW w:w="2395" w:type="dxa"/>
          </w:tcPr>
          <w:p w:rsidR="0003774C" w:rsidRDefault="004A02DB" w:rsidP="004A02DB">
            <w:r>
              <w:t>41/55           26%</w:t>
            </w:r>
          </w:p>
        </w:tc>
        <w:tc>
          <w:tcPr>
            <w:tcW w:w="2395" w:type="dxa"/>
          </w:tcPr>
          <w:p w:rsidR="0003774C" w:rsidRDefault="00670EB5" w:rsidP="00D5178C">
            <w:r>
              <w:t>23% (23%)</w:t>
            </w:r>
          </w:p>
        </w:tc>
      </w:tr>
      <w:tr w:rsidR="0003774C" w:rsidTr="0003774C">
        <w:tc>
          <w:tcPr>
            <w:tcW w:w="3546" w:type="dxa"/>
          </w:tcPr>
          <w:p w:rsidR="0003774C" w:rsidRPr="007B387E" w:rsidRDefault="0003774C" w:rsidP="00D5178C">
            <w:pPr>
              <w:rPr>
                <w:b/>
              </w:rPr>
            </w:pPr>
            <w:r w:rsidRPr="007B387E">
              <w:rPr>
                <w:b/>
              </w:rPr>
              <w:t>The average scaled score</w:t>
            </w:r>
            <w:r>
              <w:rPr>
                <w:b/>
              </w:rPr>
              <w:t xml:space="preserve"> in Maths</w:t>
            </w:r>
            <w:r w:rsidRPr="007B387E">
              <w:rPr>
                <w:b/>
              </w:rPr>
              <w:t xml:space="preserve"> </w:t>
            </w:r>
          </w:p>
        </w:tc>
        <w:tc>
          <w:tcPr>
            <w:tcW w:w="1076" w:type="dxa"/>
          </w:tcPr>
          <w:p w:rsidR="0003774C" w:rsidRDefault="0003774C" w:rsidP="00D5178C">
            <w:r>
              <w:t>100</w:t>
            </w:r>
          </w:p>
        </w:tc>
        <w:tc>
          <w:tcPr>
            <w:tcW w:w="1417" w:type="dxa"/>
          </w:tcPr>
          <w:p w:rsidR="0003774C" w:rsidRDefault="0003774C" w:rsidP="00D5178C">
            <w:r>
              <w:t>103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3774C" w:rsidRDefault="0003774C" w:rsidP="00D5178C"/>
        </w:tc>
        <w:tc>
          <w:tcPr>
            <w:tcW w:w="1508" w:type="dxa"/>
          </w:tcPr>
          <w:p w:rsidR="0003774C" w:rsidRDefault="0003774C" w:rsidP="00D5178C">
            <w:r>
              <w:t>106.2</w:t>
            </w:r>
          </w:p>
        </w:tc>
        <w:tc>
          <w:tcPr>
            <w:tcW w:w="2469" w:type="dxa"/>
          </w:tcPr>
          <w:p w:rsidR="0003774C" w:rsidRDefault="0003774C" w:rsidP="00D5178C">
            <w:r>
              <w:t>103.6 (104.2)</w:t>
            </w:r>
          </w:p>
        </w:tc>
        <w:tc>
          <w:tcPr>
            <w:tcW w:w="2395" w:type="dxa"/>
          </w:tcPr>
          <w:p w:rsidR="0003774C" w:rsidRDefault="00E161C2" w:rsidP="00D5178C">
            <w:r>
              <w:t>106</w:t>
            </w:r>
          </w:p>
        </w:tc>
        <w:tc>
          <w:tcPr>
            <w:tcW w:w="2395" w:type="dxa"/>
          </w:tcPr>
          <w:p w:rsidR="0003774C" w:rsidRDefault="00F0316A" w:rsidP="00D5178C">
            <w:r>
              <w:t>104  (104)</w:t>
            </w:r>
          </w:p>
        </w:tc>
      </w:tr>
      <w:tr w:rsidR="0003774C" w:rsidTr="0003774C">
        <w:tc>
          <w:tcPr>
            <w:tcW w:w="3546" w:type="dxa"/>
          </w:tcPr>
          <w:p w:rsidR="0003774C" w:rsidRPr="007B387E" w:rsidRDefault="0003774C" w:rsidP="00D5178C">
            <w:pPr>
              <w:rPr>
                <w:b/>
              </w:rPr>
            </w:pPr>
            <w:r>
              <w:rPr>
                <w:b/>
              </w:rPr>
              <w:t>Reading, Writing and Maths combined at the expected standard</w:t>
            </w:r>
          </w:p>
        </w:tc>
        <w:tc>
          <w:tcPr>
            <w:tcW w:w="1076" w:type="dxa"/>
          </w:tcPr>
          <w:p w:rsidR="0003774C" w:rsidRDefault="0003774C" w:rsidP="00D5178C">
            <w:r>
              <w:t>42%</w:t>
            </w:r>
          </w:p>
        </w:tc>
        <w:tc>
          <w:tcPr>
            <w:tcW w:w="1417" w:type="dxa"/>
          </w:tcPr>
          <w:p w:rsidR="0003774C" w:rsidRDefault="0003774C" w:rsidP="00D5178C">
            <w:r>
              <w:t>53%</w:t>
            </w:r>
          </w:p>
        </w:tc>
        <w:tc>
          <w:tcPr>
            <w:tcW w:w="1114" w:type="dxa"/>
          </w:tcPr>
          <w:p w:rsidR="0003774C" w:rsidRDefault="0003774C" w:rsidP="00D5178C">
            <w:r w:rsidRPr="00086012">
              <w:t>37/57  64.9%</w:t>
            </w:r>
          </w:p>
        </w:tc>
        <w:tc>
          <w:tcPr>
            <w:tcW w:w="1508" w:type="dxa"/>
          </w:tcPr>
          <w:p w:rsidR="0003774C" w:rsidRDefault="0003774C" w:rsidP="00D5178C">
            <w:r>
              <w:t>75.4%</w:t>
            </w:r>
          </w:p>
        </w:tc>
        <w:tc>
          <w:tcPr>
            <w:tcW w:w="2469" w:type="dxa"/>
          </w:tcPr>
          <w:p w:rsidR="0003774C" w:rsidRDefault="0003774C" w:rsidP="00D5178C">
            <w:r>
              <w:t>58.6%  (61.1%)</w:t>
            </w:r>
          </w:p>
        </w:tc>
        <w:tc>
          <w:tcPr>
            <w:tcW w:w="2395" w:type="dxa"/>
          </w:tcPr>
          <w:p w:rsidR="0084379C" w:rsidRDefault="00CC44FE" w:rsidP="00D5178C">
            <w:r>
              <w:t xml:space="preserve">34/55            </w:t>
            </w:r>
            <w:r w:rsidR="0084379C">
              <w:t>62%</w:t>
            </w:r>
          </w:p>
        </w:tc>
        <w:tc>
          <w:tcPr>
            <w:tcW w:w="2395" w:type="dxa"/>
          </w:tcPr>
          <w:p w:rsidR="0003774C" w:rsidRDefault="00870E46" w:rsidP="00D5178C">
            <w:r>
              <w:t>60.8%  (64.3%)</w:t>
            </w:r>
          </w:p>
        </w:tc>
      </w:tr>
      <w:tr w:rsidR="0003774C" w:rsidTr="0003774C">
        <w:tc>
          <w:tcPr>
            <w:tcW w:w="3546" w:type="dxa"/>
          </w:tcPr>
          <w:p w:rsidR="0003774C" w:rsidRDefault="0003774C" w:rsidP="00C809B7">
            <w:pPr>
              <w:rPr>
                <w:b/>
              </w:rPr>
            </w:pPr>
            <w:r>
              <w:rPr>
                <w:b/>
              </w:rPr>
              <w:t>Reading, Writing, Maths combined at a higher level of attainment</w:t>
            </w:r>
          </w:p>
        </w:tc>
        <w:tc>
          <w:tcPr>
            <w:tcW w:w="1076" w:type="dxa"/>
          </w:tcPr>
          <w:p w:rsidR="0003774C" w:rsidRDefault="0003774C" w:rsidP="00D5178C">
            <w:r>
              <w:t>5.3%</w:t>
            </w:r>
          </w:p>
        </w:tc>
        <w:tc>
          <w:tcPr>
            <w:tcW w:w="1417" w:type="dxa"/>
          </w:tcPr>
          <w:p w:rsidR="0003774C" w:rsidRDefault="0003774C" w:rsidP="00D5178C">
            <w:r>
              <w:t>5.3%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3774C" w:rsidRDefault="0003774C" w:rsidP="00D5178C"/>
        </w:tc>
        <w:tc>
          <w:tcPr>
            <w:tcW w:w="1508" w:type="dxa"/>
          </w:tcPr>
          <w:p w:rsidR="0003774C" w:rsidRDefault="0003774C" w:rsidP="00D5178C">
            <w:r>
              <w:t>8.8%</w:t>
            </w:r>
          </w:p>
        </w:tc>
        <w:tc>
          <w:tcPr>
            <w:tcW w:w="2469" w:type="dxa"/>
          </w:tcPr>
          <w:p w:rsidR="0003774C" w:rsidRDefault="0003774C" w:rsidP="00D5178C">
            <w:r>
              <w:t>8.1%    (8.6%)</w:t>
            </w:r>
          </w:p>
        </w:tc>
        <w:tc>
          <w:tcPr>
            <w:tcW w:w="2395" w:type="dxa"/>
          </w:tcPr>
          <w:p w:rsidR="0003774C" w:rsidRDefault="00340B7F" w:rsidP="00CC44FE">
            <w:r>
              <w:t>5</w:t>
            </w:r>
            <w:r w:rsidR="00CC44FE">
              <w:t>/55             9%</w:t>
            </w:r>
          </w:p>
        </w:tc>
        <w:tc>
          <w:tcPr>
            <w:tcW w:w="2395" w:type="dxa"/>
          </w:tcPr>
          <w:p w:rsidR="0003774C" w:rsidRDefault="00A16C53" w:rsidP="00D5178C">
            <w:r>
              <w:t>9.4%  (9.8%)</w:t>
            </w:r>
          </w:p>
        </w:tc>
      </w:tr>
      <w:tr w:rsidR="0003774C" w:rsidTr="0003774C">
        <w:tc>
          <w:tcPr>
            <w:tcW w:w="3546" w:type="dxa"/>
          </w:tcPr>
          <w:p w:rsidR="0003774C" w:rsidRDefault="0003774C" w:rsidP="00D5178C">
            <w:pPr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1076" w:type="dxa"/>
          </w:tcPr>
          <w:p w:rsidR="0003774C" w:rsidRDefault="0003774C" w:rsidP="00D5178C">
            <w:r>
              <w:t>79%</w:t>
            </w:r>
          </w:p>
        </w:tc>
        <w:tc>
          <w:tcPr>
            <w:tcW w:w="1417" w:type="dxa"/>
          </w:tcPr>
          <w:p w:rsidR="0003774C" w:rsidRDefault="0003774C" w:rsidP="00D5178C">
            <w:r>
              <w:t>81% (national report on teacher assessments)</w:t>
            </w:r>
          </w:p>
        </w:tc>
        <w:tc>
          <w:tcPr>
            <w:tcW w:w="1114" w:type="dxa"/>
          </w:tcPr>
          <w:p w:rsidR="0003774C" w:rsidRDefault="0003774C" w:rsidP="00D5178C">
            <w:r>
              <w:t>50/57    88%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03774C" w:rsidRDefault="0003774C" w:rsidP="00D5178C"/>
        </w:tc>
        <w:tc>
          <w:tcPr>
            <w:tcW w:w="2469" w:type="dxa"/>
          </w:tcPr>
          <w:p w:rsidR="0003774C" w:rsidRDefault="0003774C" w:rsidP="00D5178C">
            <w:r>
              <w:t>82% (national report on teacher assessments)</w:t>
            </w:r>
          </w:p>
        </w:tc>
        <w:tc>
          <w:tcPr>
            <w:tcW w:w="2395" w:type="dxa"/>
          </w:tcPr>
          <w:p w:rsidR="0003774C" w:rsidRDefault="00FB3AF3" w:rsidP="00FB3AF3">
            <w:r>
              <w:t>52/55           95%</w:t>
            </w:r>
          </w:p>
        </w:tc>
        <w:tc>
          <w:tcPr>
            <w:tcW w:w="2395" w:type="dxa"/>
          </w:tcPr>
          <w:p w:rsidR="0003774C" w:rsidRDefault="0002510F" w:rsidP="00D5178C">
            <w:r>
              <w:t>81% (82%)</w:t>
            </w:r>
          </w:p>
        </w:tc>
      </w:tr>
    </w:tbl>
    <w:p w:rsidR="00777DCD" w:rsidRDefault="00777DCD" w:rsidP="00777DCD">
      <w:pPr>
        <w:rPr>
          <w:b/>
        </w:rPr>
      </w:pPr>
    </w:p>
    <w:p w:rsidR="00A6409E" w:rsidRDefault="00A6409E" w:rsidP="00777DCD">
      <w:pPr>
        <w:rPr>
          <w:b/>
        </w:rPr>
      </w:pPr>
    </w:p>
    <w:p w:rsidR="00A6409E" w:rsidRDefault="00A6409E" w:rsidP="00777DCD">
      <w:pPr>
        <w:rPr>
          <w:b/>
        </w:rPr>
      </w:pPr>
    </w:p>
    <w:p w:rsidR="00A6409E" w:rsidRDefault="005D1351" w:rsidP="00777DCD">
      <w:pPr>
        <w:rPr>
          <w:b/>
        </w:rPr>
      </w:pPr>
      <w:r>
        <w:rPr>
          <w:b/>
        </w:rPr>
        <w:t xml:space="preserve">KS2 PROGRESS FROM KS1: The national marker is 0 for progress as it presumes that all children will achieve a standardised score according to their prior attainment when in year 2, thus a minus progress score is progress below expected and a positive score above 0 is better than expected progress. </w:t>
      </w:r>
    </w:p>
    <w:p w:rsidR="00A6409E" w:rsidRDefault="00A6409E" w:rsidP="00777DCD">
      <w:pPr>
        <w:rPr>
          <w:b/>
        </w:rPr>
      </w:pPr>
    </w:p>
    <w:tbl>
      <w:tblPr>
        <w:tblStyle w:val="TableGrid"/>
        <w:tblW w:w="0" w:type="auto"/>
        <w:tblInd w:w="1179" w:type="dxa"/>
        <w:tblLook w:val="04A0" w:firstRow="1" w:lastRow="0" w:firstColumn="1" w:lastColumn="0" w:noHBand="0" w:noVBand="1"/>
      </w:tblPr>
      <w:tblGrid>
        <w:gridCol w:w="1412"/>
        <w:gridCol w:w="1134"/>
        <w:gridCol w:w="1984"/>
        <w:gridCol w:w="999"/>
        <w:gridCol w:w="987"/>
        <w:gridCol w:w="1701"/>
        <w:gridCol w:w="999"/>
        <w:gridCol w:w="1229"/>
        <w:gridCol w:w="1653"/>
        <w:gridCol w:w="1229"/>
      </w:tblGrid>
      <w:tr w:rsidR="00A6409E" w:rsidTr="00A6409E">
        <w:tc>
          <w:tcPr>
            <w:tcW w:w="1412" w:type="dxa"/>
          </w:tcPr>
          <w:p w:rsidR="00A6409E" w:rsidRDefault="00A6409E" w:rsidP="00777DCD">
            <w:pPr>
              <w:rPr>
                <w:b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A6409E" w:rsidRDefault="00A6409E" w:rsidP="00811035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3687" w:type="dxa"/>
            <w:gridSpan w:val="3"/>
            <w:vAlign w:val="center"/>
          </w:tcPr>
          <w:p w:rsidR="00A6409E" w:rsidRDefault="00A6409E" w:rsidP="00A6409E">
            <w:pPr>
              <w:jc w:val="center"/>
              <w:rPr>
                <w:b/>
              </w:rPr>
            </w:pPr>
            <w:r>
              <w:rPr>
                <w:b/>
              </w:rPr>
              <w:t xml:space="preserve">2017 </w:t>
            </w:r>
          </w:p>
        </w:tc>
        <w:tc>
          <w:tcPr>
            <w:tcW w:w="4111" w:type="dxa"/>
            <w:gridSpan w:val="3"/>
          </w:tcPr>
          <w:p w:rsidR="00A6409E" w:rsidRDefault="00A6409E" w:rsidP="00A6409E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A6409E" w:rsidTr="00A6409E">
        <w:tc>
          <w:tcPr>
            <w:tcW w:w="1412" w:type="dxa"/>
          </w:tcPr>
          <w:p w:rsidR="00A6409E" w:rsidRDefault="00A6409E" w:rsidP="00A6409E">
            <w:pPr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1134" w:type="dxa"/>
          </w:tcPr>
          <w:p w:rsidR="00A6409E" w:rsidRDefault="00A6409E" w:rsidP="00A6409E">
            <w:pPr>
              <w:rPr>
                <w:b/>
              </w:rPr>
            </w:pPr>
            <w:r w:rsidRPr="007B387E">
              <w:rPr>
                <w:b/>
              </w:rPr>
              <w:t>School</w:t>
            </w:r>
          </w:p>
        </w:tc>
        <w:tc>
          <w:tcPr>
            <w:tcW w:w="1984" w:type="dxa"/>
          </w:tcPr>
          <w:p w:rsidR="00A6409E" w:rsidRDefault="00A6409E" w:rsidP="00A6409E">
            <w:pPr>
              <w:rPr>
                <w:b/>
              </w:rPr>
            </w:pPr>
            <w:r>
              <w:rPr>
                <w:b/>
              </w:rPr>
              <w:t>Cambridgeshire</w:t>
            </w:r>
          </w:p>
        </w:tc>
        <w:tc>
          <w:tcPr>
            <w:tcW w:w="999" w:type="dxa"/>
          </w:tcPr>
          <w:p w:rsidR="00A6409E" w:rsidRPr="00C809B7" w:rsidRDefault="00A6409E" w:rsidP="00A6409E">
            <w:r>
              <w:rPr>
                <w:b/>
              </w:rPr>
              <w:t>National</w:t>
            </w:r>
          </w:p>
        </w:tc>
        <w:tc>
          <w:tcPr>
            <w:tcW w:w="987" w:type="dxa"/>
          </w:tcPr>
          <w:p w:rsidR="00A6409E" w:rsidRDefault="00A6409E" w:rsidP="00A6409E">
            <w:pPr>
              <w:rPr>
                <w:b/>
              </w:rPr>
            </w:pPr>
            <w:r w:rsidRPr="007B387E">
              <w:rPr>
                <w:b/>
              </w:rPr>
              <w:t>School</w:t>
            </w:r>
          </w:p>
        </w:tc>
        <w:tc>
          <w:tcPr>
            <w:tcW w:w="1701" w:type="dxa"/>
          </w:tcPr>
          <w:p w:rsidR="00A6409E" w:rsidRDefault="00A6409E" w:rsidP="00A6409E">
            <w:pPr>
              <w:rPr>
                <w:b/>
              </w:rPr>
            </w:pPr>
            <w:r>
              <w:rPr>
                <w:b/>
              </w:rPr>
              <w:t>Cambridgeshire</w:t>
            </w:r>
          </w:p>
        </w:tc>
        <w:tc>
          <w:tcPr>
            <w:tcW w:w="999" w:type="dxa"/>
          </w:tcPr>
          <w:p w:rsidR="00A6409E" w:rsidRPr="00C809B7" w:rsidRDefault="00A6409E" w:rsidP="00A6409E">
            <w:r>
              <w:rPr>
                <w:b/>
              </w:rPr>
              <w:t>National</w:t>
            </w:r>
          </w:p>
        </w:tc>
        <w:tc>
          <w:tcPr>
            <w:tcW w:w="1229" w:type="dxa"/>
          </w:tcPr>
          <w:p w:rsidR="00A6409E" w:rsidRDefault="00A6409E" w:rsidP="00A6409E">
            <w:pPr>
              <w:rPr>
                <w:b/>
              </w:rPr>
            </w:pPr>
            <w:r w:rsidRPr="007B387E">
              <w:rPr>
                <w:b/>
              </w:rPr>
              <w:t>School</w:t>
            </w:r>
          </w:p>
          <w:p w:rsidR="00C96C4E" w:rsidRPr="00C96C4E" w:rsidRDefault="00C96C4E" w:rsidP="00A6409E">
            <w:pPr>
              <w:rPr>
                <w:b/>
                <w:i/>
              </w:rPr>
            </w:pPr>
            <w:r w:rsidRPr="00C96C4E">
              <w:rPr>
                <w:b/>
                <w:i/>
              </w:rPr>
              <w:t>Provisional based on 2017 PAGS</w:t>
            </w:r>
          </w:p>
        </w:tc>
        <w:tc>
          <w:tcPr>
            <w:tcW w:w="1653" w:type="dxa"/>
          </w:tcPr>
          <w:p w:rsidR="00A6409E" w:rsidRDefault="00A6409E" w:rsidP="00A6409E">
            <w:pPr>
              <w:rPr>
                <w:b/>
              </w:rPr>
            </w:pPr>
            <w:r>
              <w:rPr>
                <w:b/>
              </w:rPr>
              <w:t>Cambridgeshire</w:t>
            </w:r>
          </w:p>
          <w:p w:rsidR="00C96C4E" w:rsidRDefault="00C96C4E" w:rsidP="00A6409E">
            <w:pPr>
              <w:rPr>
                <w:b/>
              </w:rPr>
            </w:pPr>
            <w:r w:rsidRPr="00C96C4E">
              <w:rPr>
                <w:b/>
                <w:i/>
              </w:rPr>
              <w:t>Provisional based on 2017 PAGS</w:t>
            </w:r>
          </w:p>
        </w:tc>
        <w:tc>
          <w:tcPr>
            <w:tcW w:w="1229" w:type="dxa"/>
          </w:tcPr>
          <w:p w:rsidR="00A6409E" w:rsidRPr="00C809B7" w:rsidRDefault="00A6409E" w:rsidP="00A6409E">
            <w:r>
              <w:rPr>
                <w:b/>
              </w:rPr>
              <w:t>National</w:t>
            </w:r>
          </w:p>
        </w:tc>
      </w:tr>
      <w:tr w:rsidR="00A6409E" w:rsidTr="00A6409E">
        <w:tc>
          <w:tcPr>
            <w:tcW w:w="1412" w:type="dxa"/>
          </w:tcPr>
          <w:p w:rsidR="00A6409E" w:rsidRDefault="00A6409E" w:rsidP="00777DCD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134" w:type="dxa"/>
          </w:tcPr>
          <w:p w:rsidR="00A6409E" w:rsidRPr="00C809B7" w:rsidRDefault="00A6409E" w:rsidP="00777DCD">
            <w:r w:rsidRPr="00C809B7">
              <w:t>-1.3</w:t>
            </w:r>
          </w:p>
        </w:tc>
        <w:tc>
          <w:tcPr>
            <w:tcW w:w="1984" w:type="dxa"/>
          </w:tcPr>
          <w:p w:rsidR="00A6409E" w:rsidRPr="000E5618" w:rsidRDefault="00A6409E" w:rsidP="00777DCD">
            <w:r w:rsidRPr="000E5618">
              <w:t>0</w:t>
            </w:r>
          </w:p>
        </w:tc>
        <w:tc>
          <w:tcPr>
            <w:tcW w:w="999" w:type="dxa"/>
          </w:tcPr>
          <w:p w:rsidR="00A6409E" w:rsidRPr="00454843" w:rsidRDefault="00A6409E" w:rsidP="00777DCD">
            <w:r w:rsidRPr="00454843">
              <w:t>0</w:t>
            </w:r>
          </w:p>
        </w:tc>
        <w:tc>
          <w:tcPr>
            <w:tcW w:w="987" w:type="dxa"/>
          </w:tcPr>
          <w:p w:rsidR="00A6409E" w:rsidRPr="00454843" w:rsidRDefault="00A6409E" w:rsidP="00777DCD">
            <w:r>
              <w:t>+ 3.2</w:t>
            </w:r>
          </w:p>
        </w:tc>
        <w:tc>
          <w:tcPr>
            <w:tcW w:w="1701" w:type="dxa"/>
          </w:tcPr>
          <w:p w:rsidR="00A6409E" w:rsidRPr="00454843" w:rsidRDefault="00A6409E" w:rsidP="00777DCD">
            <w:r>
              <w:t>+0.2</w:t>
            </w:r>
          </w:p>
        </w:tc>
        <w:tc>
          <w:tcPr>
            <w:tcW w:w="999" w:type="dxa"/>
          </w:tcPr>
          <w:p w:rsidR="00A6409E" w:rsidRPr="00454843" w:rsidRDefault="002D0F75" w:rsidP="00777DCD">
            <w:r>
              <w:t>0</w:t>
            </w:r>
          </w:p>
        </w:tc>
        <w:tc>
          <w:tcPr>
            <w:tcW w:w="1229" w:type="dxa"/>
          </w:tcPr>
          <w:p w:rsidR="00A6409E" w:rsidRDefault="00307B6C" w:rsidP="00777DCD">
            <w:r>
              <w:t>-0.2</w:t>
            </w:r>
          </w:p>
          <w:p w:rsidR="00E227B8" w:rsidRPr="00454843" w:rsidRDefault="005D1351" w:rsidP="005D1351">
            <w:r>
              <w:t xml:space="preserve">(progress for the 55 who took the test: </w:t>
            </w:r>
            <w:r w:rsidR="00E227B8">
              <w:t>+0.3)</w:t>
            </w:r>
          </w:p>
        </w:tc>
        <w:tc>
          <w:tcPr>
            <w:tcW w:w="1653" w:type="dxa"/>
          </w:tcPr>
          <w:p w:rsidR="00A6409E" w:rsidRPr="00454843" w:rsidRDefault="00670EB5" w:rsidP="00777DCD">
            <w:r>
              <w:t>+0.1</w:t>
            </w:r>
          </w:p>
        </w:tc>
        <w:tc>
          <w:tcPr>
            <w:tcW w:w="1229" w:type="dxa"/>
          </w:tcPr>
          <w:p w:rsidR="00A6409E" w:rsidRPr="00454843" w:rsidRDefault="002D0F75" w:rsidP="00777DCD">
            <w:r>
              <w:t>0</w:t>
            </w:r>
          </w:p>
        </w:tc>
      </w:tr>
      <w:tr w:rsidR="00A6409E" w:rsidTr="00A6409E">
        <w:tc>
          <w:tcPr>
            <w:tcW w:w="1412" w:type="dxa"/>
          </w:tcPr>
          <w:p w:rsidR="00A6409E" w:rsidRDefault="00A6409E" w:rsidP="00777DCD">
            <w:pP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134" w:type="dxa"/>
          </w:tcPr>
          <w:p w:rsidR="00A6409E" w:rsidRPr="00C809B7" w:rsidRDefault="00A6409E" w:rsidP="00777DCD">
            <w:r w:rsidRPr="00C809B7">
              <w:t>-0.2</w:t>
            </w:r>
          </w:p>
        </w:tc>
        <w:tc>
          <w:tcPr>
            <w:tcW w:w="1984" w:type="dxa"/>
          </w:tcPr>
          <w:p w:rsidR="00A6409E" w:rsidRPr="000E5618" w:rsidRDefault="00A6409E" w:rsidP="00777DCD">
            <w:r w:rsidRPr="000E5618">
              <w:t>-0.8</w:t>
            </w:r>
          </w:p>
        </w:tc>
        <w:tc>
          <w:tcPr>
            <w:tcW w:w="999" w:type="dxa"/>
          </w:tcPr>
          <w:p w:rsidR="00A6409E" w:rsidRPr="00454843" w:rsidRDefault="00A6409E" w:rsidP="00777DCD">
            <w:r w:rsidRPr="00454843">
              <w:t>0</w:t>
            </w:r>
          </w:p>
        </w:tc>
        <w:tc>
          <w:tcPr>
            <w:tcW w:w="987" w:type="dxa"/>
          </w:tcPr>
          <w:p w:rsidR="00A6409E" w:rsidRPr="00454843" w:rsidRDefault="00A6409E" w:rsidP="00A6409E">
            <w:r>
              <w:t xml:space="preserve">-2.1 </w:t>
            </w:r>
          </w:p>
        </w:tc>
        <w:tc>
          <w:tcPr>
            <w:tcW w:w="1701" w:type="dxa"/>
          </w:tcPr>
          <w:p w:rsidR="00A6409E" w:rsidRPr="00454843" w:rsidRDefault="00A6409E" w:rsidP="00777DCD">
            <w:r>
              <w:t>-1.2</w:t>
            </w:r>
          </w:p>
        </w:tc>
        <w:tc>
          <w:tcPr>
            <w:tcW w:w="999" w:type="dxa"/>
          </w:tcPr>
          <w:p w:rsidR="00A6409E" w:rsidRPr="00454843" w:rsidRDefault="002D0F75" w:rsidP="00777DCD">
            <w:r>
              <w:t>0</w:t>
            </w:r>
          </w:p>
        </w:tc>
        <w:tc>
          <w:tcPr>
            <w:tcW w:w="1229" w:type="dxa"/>
          </w:tcPr>
          <w:p w:rsidR="00A6409E" w:rsidRPr="00454843" w:rsidRDefault="008312FA" w:rsidP="00777DCD">
            <w:r>
              <w:t>-1.4</w:t>
            </w:r>
          </w:p>
        </w:tc>
        <w:tc>
          <w:tcPr>
            <w:tcW w:w="1653" w:type="dxa"/>
          </w:tcPr>
          <w:p w:rsidR="00A6409E" w:rsidRPr="00454843" w:rsidRDefault="00670EB5" w:rsidP="00777DCD">
            <w:r>
              <w:t>-1.0</w:t>
            </w:r>
          </w:p>
        </w:tc>
        <w:tc>
          <w:tcPr>
            <w:tcW w:w="1229" w:type="dxa"/>
          </w:tcPr>
          <w:p w:rsidR="00A6409E" w:rsidRPr="00454843" w:rsidRDefault="002D0F75" w:rsidP="00777DCD">
            <w:r>
              <w:t>0</w:t>
            </w:r>
          </w:p>
        </w:tc>
      </w:tr>
      <w:tr w:rsidR="00A6409E" w:rsidTr="00A6409E">
        <w:tc>
          <w:tcPr>
            <w:tcW w:w="1412" w:type="dxa"/>
          </w:tcPr>
          <w:p w:rsidR="00A6409E" w:rsidRDefault="00A6409E" w:rsidP="00777DCD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1134" w:type="dxa"/>
          </w:tcPr>
          <w:p w:rsidR="00A6409E" w:rsidRPr="00C809B7" w:rsidRDefault="00A6409E" w:rsidP="00777DCD">
            <w:r w:rsidRPr="00C809B7">
              <w:t>-0.5</w:t>
            </w:r>
          </w:p>
        </w:tc>
        <w:tc>
          <w:tcPr>
            <w:tcW w:w="1984" w:type="dxa"/>
          </w:tcPr>
          <w:p w:rsidR="00A6409E" w:rsidRPr="000E5618" w:rsidRDefault="00A6409E" w:rsidP="00777DCD">
            <w:r w:rsidRPr="000E5618">
              <w:t>-0.72</w:t>
            </w:r>
          </w:p>
        </w:tc>
        <w:tc>
          <w:tcPr>
            <w:tcW w:w="999" w:type="dxa"/>
          </w:tcPr>
          <w:p w:rsidR="00A6409E" w:rsidRPr="00454843" w:rsidRDefault="00A6409E" w:rsidP="00777DCD">
            <w:r w:rsidRPr="00454843">
              <w:t>0</w:t>
            </w:r>
          </w:p>
        </w:tc>
        <w:tc>
          <w:tcPr>
            <w:tcW w:w="987" w:type="dxa"/>
          </w:tcPr>
          <w:p w:rsidR="00A6409E" w:rsidRPr="00454843" w:rsidRDefault="00A6409E" w:rsidP="00777DCD">
            <w:r>
              <w:t>+0.9</w:t>
            </w:r>
          </w:p>
        </w:tc>
        <w:tc>
          <w:tcPr>
            <w:tcW w:w="1701" w:type="dxa"/>
          </w:tcPr>
          <w:p w:rsidR="00A6409E" w:rsidRPr="00454843" w:rsidRDefault="00A6409E" w:rsidP="00777DCD">
            <w:r>
              <w:t>-0.9</w:t>
            </w:r>
          </w:p>
        </w:tc>
        <w:tc>
          <w:tcPr>
            <w:tcW w:w="999" w:type="dxa"/>
          </w:tcPr>
          <w:p w:rsidR="00A6409E" w:rsidRPr="00454843" w:rsidRDefault="002D0F75" w:rsidP="00777DCD">
            <w:r>
              <w:t>0</w:t>
            </w:r>
          </w:p>
        </w:tc>
        <w:tc>
          <w:tcPr>
            <w:tcW w:w="1229" w:type="dxa"/>
          </w:tcPr>
          <w:p w:rsidR="00A6409E" w:rsidRDefault="00915E22" w:rsidP="00777DCD">
            <w:r>
              <w:t>-0.35</w:t>
            </w:r>
          </w:p>
          <w:p w:rsidR="00915E22" w:rsidRDefault="005D1351" w:rsidP="00777DCD">
            <w:r>
              <w:t xml:space="preserve">(progress for the 55 who took the test: </w:t>
            </w:r>
            <w:r w:rsidR="00915E22">
              <w:t>+0.12)</w:t>
            </w:r>
          </w:p>
          <w:p w:rsidR="00915E22" w:rsidRPr="00454843" w:rsidRDefault="00915E22" w:rsidP="00777DCD"/>
        </w:tc>
        <w:tc>
          <w:tcPr>
            <w:tcW w:w="1653" w:type="dxa"/>
          </w:tcPr>
          <w:p w:rsidR="00A6409E" w:rsidRPr="00454843" w:rsidRDefault="00670EB5" w:rsidP="00777DCD">
            <w:r>
              <w:t>-0.5</w:t>
            </w:r>
          </w:p>
        </w:tc>
        <w:tc>
          <w:tcPr>
            <w:tcW w:w="1229" w:type="dxa"/>
          </w:tcPr>
          <w:p w:rsidR="00A6409E" w:rsidRPr="00454843" w:rsidRDefault="002D0F75" w:rsidP="00777DCD">
            <w:r>
              <w:t>0</w:t>
            </w:r>
          </w:p>
        </w:tc>
      </w:tr>
    </w:tbl>
    <w:p w:rsidR="008C4311" w:rsidRDefault="008C4311" w:rsidP="00777DCD">
      <w:pPr>
        <w:rPr>
          <w:b/>
        </w:rPr>
      </w:pPr>
    </w:p>
    <w:p w:rsidR="008C4311" w:rsidRDefault="008C4311" w:rsidP="00777DCD"/>
    <w:p w:rsidR="00777DCD" w:rsidRPr="00D7163E" w:rsidRDefault="00777DCD" w:rsidP="00777DCD">
      <w:pPr>
        <w:jc w:val="center"/>
        <w:rPr>
          <w:b/>
          <w:sz w:val="26"/>
        </w:rPr>
      </w:pPr>
      <w:r w:rsidRPr="00D7163E">
        <w:rPr>
          <w:b/>
          <w:sz w:val="26"/>
        </w:rPr>
        <w:t>YEAR 1 PHONICS</w:t>
      </w:r>
    </w:p>
    <w:p w:rsidR="00777DCD" w:rsidRDefault="00777DCD" w:rsidP="00777DC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3260"/>
      </w:tblGrid>
      <w:tr w:rsidR="00D7163E" w:rsidTr="006C7FEF">
        <w:trPr>
          <w:jc w:val="center"/>
        </w:trPr>
        <w:tc>
          <w:tcPr>
            <w:tcW w:w="3260" w:type="dxa"/>
          </w:tcPr>
          <w:p w:rsidR="00D7163E" w:rsidRPr="00392DCB" w:rsidRDefault="00D7163E" w:rsidP="00D5178C">
            <w:pPr>
              <w:rPr>
                <w:b/>
              </w:rPr>
            </w:pPr>
            <w:r w:rsidRPr="00392DCB">
              <w:rPr>
                <w:b/>
              </w:rPr>
              <w:t xml:space="preserve">KS1 </w:t>
            </w:r>
            <w:r w:rsidR="007620F6">
              <w:rPr>
                <w:b/>
              </w:rPr>
              <w:t xml:space="preserve">Year 1 </w:t>
            </w:r>
            <w:r w:rsidRPr="00392DCB">
              <w:rPr>
                <w:b/>
              </w:rPr>
              <w:t>Phonics</w:t>
            </w:r>
          </w:p>
        </w:tc>
        <w:tc>
          <w:tcPr>
            <w:tcW w:w="3260" w:type="dxa"/>
          </w:tcPr>
          <w:p w:rsidR="00D7163E" w:rsidRPr="00392DCB" w:rsidRDefault="00D7163E" w:rsidP="00D5178C">
            <w:pPr>
              <w:rPr>
                <w:b/>
              </w:rPr>
            </w:pPr>
            <w:r w:rsidRPr="00392DCB">
              <w:rPr>
                <w:b/>
              </w:rPr>
              <w:t>All pupils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BFBFBF" w:themeFill="background1" w:themeFillShade="BF"/>
          </w:tcPr>
          <w:p w:rsidR="00D7163E" w:rsidRDefault="00D7163E" w:rsidP="00D5178C">
            <w:r>
              <w:t>2012 School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7163E" w:rsidRDefault="00D7163E" w:rsidP="00D5178C">
            <w:r>
              <w:t>85%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2012 Local Authority</w:t>
            </w:r>
          </w:p>
        </w:tc>
        <w:tc>
          <w:tcPr>
            <w:tcW w:w="3260" w:type="dxa"/>
            <w:shd w:val="clear" w:color="auto" w:fill="auto"/>
          </w:tcPr>
          <w:p w:rsidR="00D7163E" w:rsidRDefault="00E0390F" w:rsidP="00D5178C">
            <w:r>
              <w:t>62</w:t>
            </w:r>
            <w:r w:rsidR="00D7163E">
              <w:t>%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2012 National</w:t>
            </w:r>
          </w:p>
        </w:tc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58%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BFBFBF" w:themeFill="background1" w:themeFillShade="BF"/>
          </w:tcPr>
          <w:p w:rsidR="00D7163E" w:rsidRDefault="00D7163E" w:rsidP="00D5178C">
            <w:r>
              <w:t>2013 School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7163E" w:rsidRDefault="00D7163E" w:rsidP="00D5178C">
            <w:r>
              <w:t>83%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2013 Local Authority</w:t>
            </w:r>
          </w:p>
        </w:tc>
        <w:tc>
          <w:tcPr>
            <w:tcW w:w="3260" w:type="dxa"/>
            <w:shd w:val="clear" w:color="auto" w:fill="auto"/>
          </w:tcPr>
          <w:p w:rsidR="00D7163E" w:rsidRDefault="00E0390F" w:rsidP="00D5178C">
            <w:r>
              <w:t>69</w:t>
            </w:r>
            <w:r w:rsidR="00D7163E">
              <w:t>%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2013 National</w:t>
            </w:r>
          </w:p>
        </w:tc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69%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BFBFBF" w:themeFill="background1" w:themeFillShade="BF"/>
          </w:tcPr>
          <w:p w:rsidR="00D7163E" w:rsidRDefault="00D7163E" w:rsidP="00D5178C">
            <w:r>
              <w:t>2014 School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7163E" w:rsidRDefault="00D7163E" w:rsidP="00D5178C">
            <w:r>
              <w:t>85%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2014 Local Authority</w:t>
            </w:r>
          </w:p>
        </w:tc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74%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2014 National</w:t>
            </w:r>
          </w:p>
        </w:tc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74%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BFBFBF" w:themeFill="background1" w:themeFillShade="BF"/>
          </w:tcPr>
          <w:p w:rsidR="00D7163E" w:rsidRDefault="00D7163E" w:rsidP="00D5178C">
            <w:r>
              <w:t>2015 School (cohort 2020)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7163E" w:rsidRDefault="00D7163E" w:rsidP="00D7163E">
            <w:r>
              <w:t>85%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2015 Local Authority</w:t>
            </w:r>
          </w:p>
        </w:tc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75%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lastRenderedPageBreak/>
              <w:t>2015 National</w:t>
            </w:r>
          </w:p>
        </w:tc>
        <w:tc>
          <w:tcPr>
            <w:tcW w:w="3260" w:type="dxa"/>
            <w:shd w:val="clear" w:color="auto" w:fill="auto"/>
          </w:tcPr>
          <w:p w:rsidR="00D7163E" w:rsidRDefault="00E0390F" w:rsidP="00D5178C">
            <w:r>
              <w:t>77%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BFBFBF" w:themeFill="background1" w:themeFillShade="BF"/>
          </w:tcPr>
          <w:p w:rsidR="00D7163E" w:rsidRDefault="00D7163E" w:rsidP="00D5178C">
            <w:r>
              <w:t>2016 School (cohort 2021)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7163E" w:rsidRDefault="00E0390F" w:rsidP="00E0390F">
            <w:r>
              <w:t xml:space="preserve">93% 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2016 Local Authority</w:t>
            </w:r>
          </w:p>
        </w:tc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78%</w:t>
            </w:r>
          </w:p>
        </w:tc>
      </w:tr>
      <w:tr w:rsidR="00D7163E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D7163E" w:rsidRDefault="00D7163E" w:rsidP="00D5178C">
            <w:r>
              <w:t>2016 National</w:t>
            </w:r>
          </w:p>
        </w:tc>
        <w:tc>
          <w:tcPr>
            <w:tcW w:w="3260" w:type="dxa"/>
            <w:shd w:val="clear" w:color="auto" w:fill="auto"/>
          </w:tcPr>
          <w:p w:rsidR="00D7163E" w:rsidRDefault="00E0390F" w:rsidP="00D5178C">
            <w:r>
              <w:t>81</w:t>
            </w:r>
            <w:r w:rsidR="00D7163E">
              <w:t>%</w:t>
            </w:r>
          </w:p>
        </w:tc>
      </w:tr>
      <w:tr w:rsidR="00947EED" w:rsidTr="00670EB5">
        <w:trPr>
          <w:jc w:val="center"/>
        </w:trPr>
        <w:tc>
          <w:tcPr>
            <w:tcW w:w="3260" w:type="dxa"/>
            <w:shd w:val="clear" w:color="auto" w:fill="BFBFBF" w:themeFill="background1" w:themeFillShade="BF"/>
          </w:tcPr>
          <w:p w:rsidR="00947EED" w:rsidRDefault="00947EED" w:rsidP="00057BD3">
            <w:r>
              <w:t>2017 School (cohort 2022)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947EED" w:rsidRDefault="00947EED" w:rsidP="00F26EFE">
            <w:r>
              <w:t xml:space="preserve">50/60   83% </w:t>
            </w:r>
            <w:r w:rsidR="006A3AAC">
              <w:t xml:space="preserve"> </w:t>
            </w:r>
          </w:p>
        </w:tc>
      </w:tr>
      <w:tr w:rsidR="004D2C7F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4D2C7F" w:rsidRDefault="004D2C7F" w:rsidP="00057BD3">
            <w:r>
              <w:t>2017 Local Authority</w:t>
            </w:r>
          </w:p>
        </w:tc>
        <w:tc>
          <w:tcPr>
            <w:tcW w:w="3260" w:type="dxa"/>
            <w:shd w:val="clear" w:color="auto" w:fill="auto"/>
          </w:tcPr>
          <w:p w:rsidR="00B410FF" w:rsidRDefault="006A3AAC" w:rsidP="00D5178C">
            <w:r>
              <w:t>80.5%</w:t>
            </w:r>
          </w:p>
        </w:tc>
      </w:tr>
      <w:tr w:rsidR="004D2C7F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4D2C7F" w:rsidRDefault="004D2C7F" w:rsidP="00057BD3">
            <w:r>
              <w:t>2017 National</w:t>
            </w:r>
          </w:p>
        </w:tc>
        <w:tc>
          <w:tcPr>
            <w:tcW w:w="3260" w:type="dxa"/>
            <w:shd w:val="clear" w:color="auto" w:fill="auto"/>
          </w:tcPr>
          <w:p w:rsidR="004D2C7F" w:rsidRDefault="006A3AAC" w:rsidP="00D5178C">
            <w:r>
              <w:t>81.3%</w:t>
            </w:r>
          </w:p>
        </w:tc>
      </w:tr>
      <w:tr w:rsidR="005F3379" w:rsidTr="00670EB5">
        <w:trPr>
          <w:jc w:val="center"/>
        </w:trPr>
        <w:tc>
          <w:tcPr>
            <w:tcW w:w="3260" w:type="dxa"/>
            <w:shd w:val="clear" w:color="auto" w:fill="BFBFBF" w:themeFill="background1" w:themeFillShade="BF"/>
          </w:tcPr>
          <w:p w:rsidR="005F3379" w:rsidRDefault="005F3379" w:rsidP="005F3379">
            <w:r>
              <w:t>2018 School (cohort 2023)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5F3379" w:rsidRDefault="005F3379" w:rsidP="005F3379">
            <w:r>
              <w:t>55/60  92%</w:t>
            </w:r>
          </w:p>
        </w:tc>
      </w:tr>
      <w:tr w:rsidR="005F3379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5F3379" w:rsidRDefault="005F3379" w:rsidP="005F3379">
            <w:r>
              <w:t>2018 Local Authority</w:t>
            </w:r>
          </w:p>
        </w:tc>
        <w:tc>
          <w:tcPr>
            <w:tcW w:w="3260" w:type="dxa"/>
            <w:shd w:val="clear" w:color="auto" w:fill="auto"/>
          </w:tcPr>
          <w:p w:rsidR="005F3379" w:rsidRDefault="00670EB5" w:rsidP="005F3379">
            <w:r>
              <w:t>81.1%</w:t>
            </w:r>
          </w:p>
        </w:tc>
      </w:tr>
      <w:tr w:rsidR="005F3379" w:rsidTr="006C7FEF">
        <w:trPr>
          <w:jc w:val="center"/>
        </w:trPr>
        <w:tc>
          <w:tcPr>
            <w:tcW w:w="3260" w:type="dxa"/>
            <w:shd w:val="clear" w:color="auto" w:fill="auto"/>
          </w:tcPr>
          <w:p w:rsidR="005F3379" w:rsidRDefault="005F3379" w:rsidP="005F3379">
            <w:r>
              <w:t>2018 National</w:t>
            </w:r>
          </w:p>
        </w:tc>
        <w:tc>
          <w:tcPr>
            <w:tcW w:w="3260" w:type="dxa"/>
            <w:shd w:val="clear" w:color="auto" w:fill="auto"/>
          </w:tcPr>
          <w:p w:rsidR="005F3379" w:rsidRDefault="00670EB5" w:rsidP="005F3379">
            <w:r>
              <w:t>82.6%</w:t>
            </w:r>
          </w:p>
        </w:tc>
      </w:tr>
    </w:tbl>
    <w:p w:rsidR="00777DCD" w:rsidRDefault="00777DCD" w:rsidP="006C7FEF">
      <w:pPr>
        <w:rPr>
          <w:b/>
        </w:rPr>
      </w:pPr>
    </w:p>
    <w:p w:rsidR="00F47FEA" w:rsidRDefault="00F47FEA" w:rsidP="006C7FEF">
      <w:pPr>
        <w:rPr>
          <w:b/>
        </w:rPr>
      </w:pPr>
    </w:p>
    <w:p w:rsidR="00F47FEA" w:rsidRDefault="00F47FEA" w:rsidP="006C7FEF">
      <w:pPr>
        <w:rPr>
          <w:b/>
        </w:rPr>
      </w:pPr>
    </w:p>
    <w:p w:rsidR="00777DCD" w:rsidRPr="006C7FEF" w:rsidRDefault="00777DCD" w:rsidP="006C7FEF">
      <w:pPr>
        <w:jc w:val="center"/>
        <w:rPr>
          <w:b/>
        </w:rPr>
      </w:pPr>
      <w:r>
        <w:rPr>
          <w:b/>
        </w:rPr>
        <w:t>THE</w:t>
      </w:r>
      <w:r w:rsidRPr="00B411BF">
        <w:rPr>
          <w:b/>
        </w:rPr>
        <w:t xml:space="preserve"> </w:t>
      </w:r>
      <w:r>
        <w:rPr>
          <w:b/>
        </w:rPr>
        <w:t>FOUNDATION STAGE</w:t>
      </w:r>
    </w:p>
    <w:p w:rsidR="00777DCD" w:rsidRDefault="00777DCD" w:rsidP="00777DCD">
      <w:pPr>
        <w:rPr>
          <w:b/>
        </w:rPr>
      </w:pPr>
      <w:r>
        <w:rPr>
          <w:b/>
        </w:rPr>
        <w:t xml:space="preserve">The </w:t>
      </w:r>
      <w:r w:rsidR="00552EF2">
        <w:rPr>
          <w:b/>
        </w:rPr>
        <w:t>Foundation Stage results in 2017</w:t>
      </w:r>
      <w:r w:rsidRPr="00320C6E">
        <w:rPr>
          <w:b/>
        </w:rPr>
        <w:t xml:space="preserve"> </w:t>
      </w:r>
      <w:r w:rsidR="00E0390F">
        <w:rPr>
          <w:b/>
        </w:rPr>
        <w:t>are</w:t>
      </w:r>
      <w:r w:rsidRPr="00320C6E">
        <w:rPr>
          <w:b/>
        </w:rPr>
        <w:t xml:space="preserve"> </w:t>
      </w:r>
      <w:r w:rsidR="006C7FEF">
        <w:rPr>
          <w:b/>
        </w:rPr>
        <w:t>a little lower than</w:t>
      </w:r>
      <w:r w:rsidRPr="00320C6E">
        <w:rPr>
          <w:b/>
        </w:rPr>
        <w:t xml:space="preserve"> the Local Authority and </w:t>
      </w:r>
      <w:r w:rsidR="00392DCB">
        <w:rPr>
          <w:b/>
        </w:rPr>
        <w:t>National</w:t>
      </w:r>
      <w:r w:rsidRPr="00320C6E">
        <w:rPr>
          <w:b/>
        </w:rPr>
        <w:t xml:space="preserve"> figures </w:t>
      </w:r>
      <w:r w:rsidR="006C7FEF">
        <w:rPr>
          <w:b/>
        </w:rPr>
        <w:t>but</w:t>
      </w:r>
      <w:r w:rsidR="00E0390F">
        <w:rPr>
          <w:b/>
        </w:rPr>
        <w:t xml:space="preserve"> are the result of good progress from lower baselines.</w:t>
      </w:r>
    </w:p>
    <w:p w:rsidR="00777DCD" w:rsidRDefault="00777DCD" w:rsidP="00777DCD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1946"/>
        <w:gridCol w:w="2217"/>
        <w:gridCol w:w="2168"/>
        <w:gridCol w:w="2260"/>
      </w:tblGrid>
      <w:tr w:rsidR="00777DCD" w:rsidTr="00852DBD">
        <w:trPr>
          <w:jc w:val="center"/>
        </w:trPr>
        <w:tc>
          <w:tcPr>
            <w:tcW w:w="2397" w:type="dxa"/>
          </w:tcPr>
          <w:p w:rsidR="00777DCD" w:rsidRPr="00F540F6" w:rsidRDefault="00777DCD" w:rsidP="00D635A8">
            <w:pPr>
              <w:rPr>
                <w:b/>
              </w:rPr>
            </w:pPr>
            <w:r>
              <w:rPr>
                <w:b/>
              </w:rPr>
              <w:t>Attainment</w:t>
            </w:r>
          </w:p>
        </w:tc>
        <w:tc>
          <w:tcPr>
            <w:tcW w:w="1946" w:type="dxa"/>
          </w:tcPr>
          <w:p w:rsidR="00777DCD" w:rsidRPr="00F540F6" w:rsidRDefault="00777DCD" w:rsidP="00D635A8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School</w:t>
            </w:r>
          </w:p>
        </w:tc>
        <w:tc>
          <w:tcPr>
            <w:tcW w:w="2168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L</w:t>
            </w:r>
            <w:r>
              <w:rPr>
                <w:b/>
              </w:rPr>
              <w:t xml:space="preserve">ocal </w:t>
            </w:r>
            <w:r w:rsidRPr="00F540F6">
              <w:rPr>
                <w:b/>
              </w:rPr>
              <w:t>A</w:t>
            </w:r>
            <w:r>
              <w:rPr>
                <w:b/>
              </w:rPr>
              <w:t>uthority</w:t>
            </w:r>
          </w:p>
        </w:tc>
        <w:tc>
          <w:tcPr>
            <w:tcW w:w="2260" w:type="dxa"/>
          </w:tcPr>
          <w:p w:rsidR="00777DCD" w:rsidRPr="00F540F6" w:rsidRDefault="00392DCB" w:rsidP="00D635A8">
            <w:pPr>
              <w:rPr>
                <w:b/>
              </w:rPr>
            </w:pPr>
            <w:r>
              <w:rPr>
                <w:b/>
              </w:rPr>
              <w:t>National</w:t>
            </w:r>
            <w:r w:rsidR="00777DCD">
              <w:rPr>
                <w:b/>
              </w:rPr>
              <w:t xml:space="preserve"> </w:t>
            </w:r>
          </w:p>
        </w:tc>
      </w:tr>
      <w:tr w:rsidR="00777DCD" w:rsidTr="00852DBD">
        <w:trPr>
          <w:jc w:val="center"/>
        </w:trPr>
        <w:tc>
          <w:tcPr>
            <w:tcW w:w="2397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% achieving GLD (a Good Level of Development)</w:t>
            </w:r>
          </w:p>
        </w:tc>
        <w:tc>
          <w:tcPr>
            <w:tcW w:w="1946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2013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 xml:space="preserve">63% </w:t>
            </w:r>
            <w:r>
              <w:rPr>
                <w:b/>
              </w:rPr>
              <w:t xml:space="preserve">  </w:t>
            </w:r>
            <w:r w:rsidRPr="00F540F6">
              <w:rPr>
                <w:b/>
              </w:rPr>
              <w:t>57/90</w:t>
            </w:r>
          </w:p>
        </w:tc>
        <w:tc>
          <w:tcPr>
            <w:tcW w:w="2168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51</w:t>
            </w:r>
            <w:r w:rsidR="00EA4F0C">
              <w:rPr>
                <w:b/>
              </w:rPr>
              <w:t>%</w:t>
            </w:r>
          </w:p>
        </w:tc>
        <w:tc>
          <w:tcPr>
            <w:tcW w:w="2260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52</w:t>
            </w:r>
            <w:r w:rsidR="00866F33">
              <w:rPr>
                <w:b/>
              </w:rPr>
              <w:t>%</w:t>
            </w:r>
          </w:p>
        </w:tc>
      </w:tr>
      <w:tr w:rsidR="00777DCD" w:rsidTr="00852DBD">
        <w:trPr>
          <w:jc w:val="center"/>
        </w:trPr>
        <w:tc>
          <w:tcPr>
            <w:tcW w:w="2397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Average total point score</w:t>
            </w:r>
          </w:p>
        </w:tc>
        <w:tc>
          <w:tcPr>
            <w:tcW w:w="1946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2013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34pts</w:t>
            </w:r>
          </w:p>
        </w:tc>
        <w:tc>
          <w:tcPr>
            <w:tcW w:w="2168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33 pts</w:t>
            </w:r>
          </w:p>
        </w:tc>
        <w:tc>
          <w:tcPr>
            <w:tcW w:w="2260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33pts</w:t>
            </w:r>
          </w:p>
        </w:tc>
      </w:tr>
      <w:tr w:rsidR="00777DCD" w:rsidTr="00852DBD">
        <w:trPr>
          <w:jc w:val="center"/>
        </w:trPr>
        <w:tc>
          <w:tcPr>
            <w:tcW w:w="2397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% achieving GLD (a Good Level of Development)</w:t>
            </w:r>
          </w:p>
        </w:tc>
        <w:tc>
          <w:tcPr>
            <w:tcW w:w="1946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2014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 xml:space="preserve">63%  </w:t>
            </w:r>
            <w:r>
              <w:rPr>
                <w:b/>
              </w:rPr>
              <w:t xml:space="preserve">  </w:t>
            </w:r>
            <w:r w:rsidRPr="00F540F6">
              <w:rPr>
                <w:b/>
              </w:rPr>
              <w:t>57/90</w:t>
            </w:r>
          </w:p>
        </w:tc>
        <w:tc>
          <w:tcPr>
            <w:tcW w:w="2168" w:type="dxa"/>
          </w:tcPr>
          <w:p w:rsidR="00777DCD" w:rsidRPr="00F540F6" w:rsidRDefault="00EA4F0C" w:rsidP="00D635A8">
            <w:pPr>
              <w:rPr>
                <w:b/>
              </w:rPr>
            </w:pPr>
            <w:r>
              <w:rPr>
                <w:b/>
              </w:rPr>
              <w:t>61</w:t>
            </w:r>
            <w:r w:rsidR="00777DCD" w:rsidRPr="00F540F6">
              <w:rPr>
                <w:b/>
              </w:rPr>
              <w:t>%</w:t>
            </w:r>
          </w:p>
        </w:tc>
        <w:tc>
          <w:tcPr>
            <w:tcW w:w="2260" w:type="dxa"/>
          </w:tcPr>
          <w:p w:rsidR="00777DCD" w:rsidRPr="00F540F6" w:rsidRDefault="00866F33" w:rsidP="00D635A8">
            <w:pPr>
              <w:rPr>
                <w:b/>
              </w:rPr>
            </w:pPr>
            <w:r>
              <w:rPr>
                <w:b/>
              </w:rPr>
              <w:t>60.4%</w:t>
            </w:r>
          </w:p>
        </w:tc>
      </w:tr>
      <w:tr w:rsidR="00777DCD" w:rsidTr="00852DBD">
        <w:trPr>
          <w:jc w:val="center"/>
        </w:trPr>
        <w:tc>
          <w:tcPr>
            <w:tcW w:w="2397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Average total point score</w:t>
            </w:r>
          </w:p>
        </w:tc>
        <w:tc>
          <w:tcPr>
            <w:tcW w:w="1946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2014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34.8pts</w:t>
            </w:r>
          </w:p>
        </w:tc>
        <w:tc>
          <w:tcPr>
            <w:tcW w:w="2168" w:type="dxa"/>
          </w:tcPr>
          <w:p w:rsidR="00777DCD" w:rsidRPr="00F540F6" w:rsidRDefault="00777DCD" w:rsidP="00D635A8">
            <w:pPr>
              <w:rPr>
                <w:b/>
              </w:rPr>
            </w:pPr>
            <w:r w:rsidRPr="00F540F6">
              <w:rPr>
                <w:b/>
              </w:rPr>
              <w:t>34.2 pts</w:t>
            </w:r>
          </w:p>
        </w:tc>
        <w:tc>
          <w:tcPr>
            <w:tcW w:w="2260" w:type="dxa"/>
          </w:tcPr>
          <w:p w:rsidR="00777DCD" w:rsidRPr="00F540F6" w:rsidRDefault="00866F33" w:rsidP="00D635A8">
            <w:pPr>
              <w:rPr>
                <w:b/>
              </w:rPr>
            </w:pPr>
            <w:r>
              <w:rPr>
                <w:b/>
              </w:rPr>
              <w:t>33.8</w:t>
            </w:r>
            <w:r w:rsidRPr="00F540F6">
              <w:rPr>
                <w:b/>
              </w:rPr>
              <w:t xml:space="preserve"> pts</w:t>
            </w:r>
          </w:p>
        </w:tc>
      </w:tr>
      <w:tr w:rsidR="00D7163E" w:rsidTr="00852DBD">
        <w:trPr>
          <w:jc w:val="center"/>
        </w:trPr>
        <w:tc>
          <w:tcPr>
            <w:tcW w:w="2397" w:type="dxa"/>
          </w:tcPr>
          <w:p w:rsidR="00D7163E" w:rsidRPr="00F540F6" w:rsidRDefault="00D7163E" w:rsidP="00D5178C">
            <w:pPr>
              <w:rPr>
                <w:b/>
              </w:rPr>
            </w:pPr>
            <w:r w:rsidRPr="00F540F6">
              <w:rPr>
                <w:b/>
              </w:rPr>
              <w:t>% achieving GLD (a Good Level of Development)</w:t>
            </w:r>
          </w:p>
        </w:tc>
        <w:tc>
          <w:tcPr>
            <w:tcW w:w="1946" w:type="dxa"/>
          </w:tcPr>
          <w:p w:rsidR="00D7163E" w:rsidRPr="00F540F6" w:rsidRDefault="00866F33" w:rsidP="00D635A8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D7163E" w:rsidRPr="00F540F6" w:rsidRDefault="00866F33" w:rsidP="00D635A8">
            <w:pPr>
              <w:rPr>
                <w:b/>
              </w:rPr>
            </w:pPr>
            <w:r>
              <w:rPr>
                <w:b/>
              </w:rPr>
              <w:t>72.6%</w:t>
            </w:r>
          </w:p>
        </w:tc>
        <w:tc>
          <w:tcPr>
            <w:tcW w:w="2168" w:type="dxa"/>
          </w:tcPr>
          <w:p w:rsidR="00D7163E" w:rsidRPr="00F540F6" w:rsidRDefault="00866F33" w:rsidP="00D635A8">
            <w:pPr>
              <w:rPr>
                <w:b/>
              </w:rPr>
            </w:pPr>
            <w:r>
              <w:rPr>
                <w:b/>
              </w:rPr>
              <w:t>65.9%</w:t>
            </w:r>
          </w:p>
        </w:tc>
        <w:tc>
          <w:tcPr>
            <w:tcW w:w="2260" w:type="dxa"/>
          </w:tcPr>
          <w:p w:rsidR="00D7163E" w:rsidRDefault="00866F33" w:rsidP="00D635A8">
            <w:pPr>
              <w:rPr>
                <w:b/>
              </w:rPr>
            </w:pPr>
            <w:r>
              <w:rPr>
                <w:b/>
              </w:rPr>
              <w:t>66.3%</w:t>
            </w:r>
          </w:p>
        </w:tc>
      </w:tr>
      <w:tr w:rsidR="00D7163E" w:rsidTr="00852DBD">
        <w:trPr>
          <w:jc w:val="center"/>
        </w:trPr>
        <w:tc>
          <w:tcPr>
            <w:tcW w:w="2397" w:type="dxa"/>
          </w:tcPr>
          <w:p w:rsidR="00D7163E" w:rsidRPr="00F540F6" w:rsidRDefault="00D7163E" w:rsidP="00D5178C">
            <w:pPr>
              <w:rPr>
                <w:b/>
              </w:rPr>
            </w:pPr>
            <w:r w:rsidRPr="00F540F6">
              <w:rPr>
                <w:b/>
              </w:rPr>
              <w:t>Average total point score</w:t>
            </w:r>
          </w:p>
        </w:tc>
        <w:tc>
          <w:tcPr>
            <w:tcW w:w="1946" w:type="dxa"/>
          </w:tcPr>
          <w:p w:rsidR="00D7163E" w:rsidRPr="00F540F6" w:rsidRDefault="00866F33" w:rsidP="00D635A8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D7163E" w:rsidRPr="00F540F6" w:rsidRDefault="00866F33" w:rsidP="00D635A8">
            <w:pPr>
              <w:rPr>
                <w:b/>
              </w:rPr>
            </w:pPr>
            <w:r>
              <w:rPr>
                <w:b/>
              </w:rPr>
              <w:t>34.6</w:t>
            </w:r>
            <w:r w:rsidRPr="00F540F6">
              <w:rPr>
                <w:b/>
              </w:rPr>
              <w:t xml:space="preserve"> pts</w:t>
            </w:r>
          </w:p>
        </w:tc>
        <w:tc>
          <w:tcPr>
            <w:tcW w:w="2168" w:type="dxa"/>
          </w:tcPr>
          <w:p w:rsidR="00D7163E" w:rsidRPr="00F540F6" w:rsidRDefault="00866F33" w:rsidP="00D635A8">
            <w:pPr>
              <w:rPr>
                <w:b/>
              </w:rPr>
            </w:pPr>
            <w:r>
              <w:rPr>
                <w:b/>
              </w:rPr>
              <w:t>34.3</w:t>
            </w:r>
            <w:r w:rsidRPr="00F540F6">
              <w:rPr>
                <w:b/>
              </w:rPr>
              <w:t xml:space="preserve"> pts</w:t>
            </w:r>
          </w:p>
        </w:tc>
        <w:tc>
          <w:tcPr>
            <w:tcW w:w="2260" w:type="dxa"/>
          </w:tcPr>
          <w:p w:rsidR="00D7163E" w:rsidRDefault="00866F33" w:rsidP="00D635A8">
            <w:pPr>
              <w:rPr>
                <w:b/>
              </w:rPr>
            </w:pPr>
            <w:r>
              <w:rPr>
                <w:b/>
              </w:rPr>
              <w:t>34.3</w:t>
            </w:r>
            <w:r w:rsidRPr="00F540F6">
              <w:rPr>
                <w:b/>
              </w:rPr>
              <w:t xml:space="preserve"> pts</w:t>
            </w:r>
          </w:p>
        </w:tc>
      </w:tr>
      <w:tr w:rsidR="00866F33" w:rsidTr="00852DBD">
        <w:trPr>
          <w:jc w:val="center"/>
        </w:trPr>
        <w:tc>
          <w:tcPr>
            <w:tcW w:w="2397" w:type="dxa"/>
          </w:tcPr>
          <w:p w:rsidR="00866F33" w:rsidRPr="00F540F6" w:rsidRDefault="00866F33" w:rsidP="00D5178C">
            <w:pPr>
              <w:rPr>
                <w:b/>
              </w:rPr>
            </w:pPr>
            <w:r w:rsidRPr="00F540F6">
              <w:rPr>
                <w:b/>
              </w:rPr>
              <w:t>% achieving GLD (a Good Level of Development)</w:t>
            </w:r>
          </w:p>
        </w:tc>
        <w:tc>
          <w:tcPr>
            <w:tcW w:w="1946" w:type="dxa"/>
          </w:tcPr>
          <w:p w:rsidR="00866F33" w:rsidRPr="00F540F6" w:rsidRDefault="00866F33" w:rsidP="00D635A8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866F33" w:rsidRPr="00F540F6" w:rsidRDefault="00866F33" w:rsidP="00D5178C">
            <w:pPr>
              <w:rPr>
                <w:b/>
              </w:rPr>
            </w:pPr>
            <w:r>
              <w:rPr>
                <w:b/>
              </w:rPr>
              <w:t>68.9%</w:t>
            </w:r>
          </w:p>
        </w:tc>
        <w:tc>
          <w:tcPr>
            <w:tcW w:w="2168" w:type="dxa"/>
          </w:tcPr>
          <w:p w:rsidR="00866F33" w:rsidRPr="00F540F6" w:rsidRDefault="00866F33" w:rsidP="00D5178C">
            <w:pPr>
              <w:rPr>
                <w:b/>
              </w:rPr>
            </w:pPr>
            <w:r>
              <w:rPr>
                <w:b/>
              </w:rPr>
              <w:t>69.7%</w:t>
            </w:r>
          </w:p>
        </w:tc>
        <w:tc>
          <w:tcPr>
            <w:tcW w:w="2260" w:type="dxa"/>
          </w:tcPr>
          <w:p w:rsidR="00866F33" w:rsidRDefault="00866F33" w:rsidP="00D5178C">
            <w:pPr>
              <w:rPr>
                <w:b/>
              </w:rPr>
            </w:pPr>
            <w:r>
              <w:rPr>
                <w:b/>
              </w:rPr>
              <w:t>69.3%</w:t>
            </w:r>
          </w:p>
        </w:tc>
      </w:tr>
      <w:tr w:rsidR="00D7163E" w:rsidTr="00852DBD">
        <w:trPr>
          <w:jc w:val="center"/>
        </w:trPr>
        <w:tc>
          <w:tcPr>
            <w:tcW w:w="2397" w:type="dxa"/>
          </w:tcPr>
          <w:p w:rsidR="00D7163E" w:rsidRPr="00F540F6" w:rsidRDefault="00D7163E" w:rsidP="00D5178C">
            <w:pPr>
              <w:rPr>
                <w:b/>
              </w:rPr>
            </w:pPr>
            <w:r w:rsidRPr="00F540F6">
              <w:rPr>
                <w:b/>
              </w:rPr>
              <w:t>Average total point score</w:t>
            </w:r>
          </w:p>
        </w:tc>
        <w:tc>
          <w:tcPr>
            <w:tcW w:w="1946" w:type="dxa"/>
          </w:tcPr>
          <w:p w:rsidR="00D7163E" w:rsidRPr="00F540F6" w:rsidRDefault="00866F33" w:rsidP="00D635A8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D7163E" w:rsidRPr="00F540F6" w:rsidRDefault="00866F33" w:rsidP="00D635A8">
            <w:pPr>
              <w:rPr>
                <w:b/>
              </w:rPr>
            </w:pPr>
            <w:r>
              <w:rPr>
                <w:b/>
              </w:rPr>
              <w:t>35.2</w:t>
            </w:r>
            <w:r w:rsidRPr="00F540F6">
              <w:rPr>
                <w:b/>
              </w:rPr>
              <w:t xml:space="preserve"> pts</w:t>
            </w:r>
          </w:p>
        </w:tc>
        <w:tc>
          <w:tcPr>
            <w:tcW w:w="2168" w:type="dxa"/>
          </w:tcPr>
          <w:p w:rsidR="00D7163E" w:rsidRPr="00F540F6" w:rsidRDefault="00866F33" w:rsidP="00D635A8">
            <w:pPr>
              <w:rPr>
                <w:b/>
              </w:rPr>
            </w:pPr>
            <w:r>
              <w:rPr>
                <w:b/>
              </w:rPr>
              <w:t>34.4</w:t>
            </w:r>
            <w:r w:rsidRPr="00F540F6">
              <w:rPr>
                <w:b/>
              </w:rPr>
              <w:t xml:space="preserve"> pts</w:t>
            </w:r>
          </w:p>
        </w:tc>
        <w:tc>
          <w:tcPr>
            <w:tcW w:w="2260" w:type="dxa"/>
          </w:tcPr>
          <w:p w:rsidR="00D7163E" w:rsidRDefault="00866F33" w:rsidP="00D635A8">
            <w:pPr>
              <w:rPr>
                <w:b/>
              </w:rPr>
            </w:pPr>
            <w:r>
              <w:rPr>
                <w:b/>
              </w:rPr>
              <w:t>34.4</w:t>
            </w:r>
            <w:r w:rsidRPr="00F540F6">
              <w:rPr>
                <w:b/>
              </w:rPr>
              <w:t xml:space="preserve"> pts</w:t>
            </w:r>
          </w:p>
        </w:tc>
      </w:tr>
      <w:tr w:rsidR="00042783" w:rsidTr="00852DBD">
        <w:trPr>
          <w:jc w:val="center"/>
        </w:trPr>
        <w:tc>
          <w:tcPr>
            <w:tcW w:w="2397" w:type="dxa"/>
          </w:tcPr>
          <w:p w:rsidR="00042783" w:rsidRPr="00F540F6" w:rsidRDefault="00042783" w:rsidP="008229A8">
            <w:pPr>
              <w:rPr>
                <w:b/>
              </w:rPr>
            </w:pPr>
            <w:r w:rsidRPr="00F540F6">
              <w:rPr>
                <w:b/>
              </w:rPr>
              <w:t>% achieving GLD (a Good Level of Development)</w:t>
            </w:r>
          </w:p>
        </w:tc>
        <w:tc>
          <w:tcPr>
            <w:tcW w:w="1946" w:type="dxa"/>
          </w:tcPr>
          <w:p w:rsidR="00042783" w:rsidRDefault="00BC54FB" w:rsidP="00D635A8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042783" w:rsidRDefault="00E4296C" w:rsidP="00D635A8">
            <w:pPr>
              <w:rPr>
                <w:b/>
              </w:rPr>
            </w:pPr>
            <w:r>
              <w:rPr>
                <w:b/>
              </w:rPr>
              <w:t>65%</w:t>
            </w:r>
            <w:r w:rsidR="005E3119">
              <w:rPr>
                <w:b/>
              </w:rPr>
              <w:t xml:space="preserve">    39/60</w:t>
            </w:r>
          </w:p>
        </w:tc>
        <w:tc>
          <w:tcPr>
            <w:tcW w:w="2168" w:type="dxa"/>
          </w:tcPr>
          <w:p w:rsidR="00042783" w:rsidRDefault="005B4224" w:rsidP="00D635A8">
            <w:pPr>
              <w:rPr>
                <w:b/>
              </w:rPr>
            </w:pPr>
            <w:r>
              <w:rPr>
                <w:b/>
              </w:rPr>
              <w:t>70.6%</w:t>
            </w:r>
          </w:p>
        </w:tc>
        <w:tc>
          <w:tcPr>
            <w:tcW w:w="2260" w:type="dxa"/>
          </w:tcPr>
          <w:p w:rsidR="00042783" w:rsidRDefault="005B4224" w:rsidP="00D635A8">
            <w:pPr>
              <w:rPr>
                <w:b/>
              </w:rPr>
            </w:pPr>
            <w:r>
              <w:rPr>
                <w:b/>
              </w:rPr>
              <w:t>70.7%</w:t>
            </w:r>
          </w:p>
        </w:tc>
      </w:tr>
      <w:tr w:rsidR="00042783" w:rsidTr="00852DBD">
        <w:trPr>
          <w:jc w:val="center"/>
        </w:trPr>
        <w:tc>
          <w:tcPr>
            <w:tcW w:w="2397" w:type="dxa"/>
          </w:tcPr>
          <w:p w:rsidR="00042783" w:rsidRPr="00F540F6" w:rsidRDefault="00042783" w:rsidP="008229A8">
            <w:pPr>
              <w:rPr>
                <w:b/>
              </w:rPr>
            </w:pPr>
            <w:r w:rsidRPr="00F540F6">
              <w:rPr>
                <w:b/>
              </w:rPr>
              <w:t>Average total point score</w:t>
            </w:r>
          </w:p>
        </w:tc>
        <w:tc>
          <w:tcPr>
            <w:tcW w:w="1946" w:type="dxa"/>
          </w:tcPr>
          <w:p w:rsidR="00042783" w:rsidRDefault="00B63F79" w:rsidP="00D635A8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042783" w:rsidRDefault="00B63F79" w:rsidP="00D635A8">
            <w:pPr>
              <w:rPr>
                <w:b/>
              </w:rPr>
            </w:pPr>
            <w:r>
              <w:rPr>
                <w:b/>
              </w:rPr>
              <w:t>34.5pts</w:t>
            </w:r>
          </w:p>
        </w:tc>
        <w:tc>
          <w:tcPr>
            <w:tcW w:w="2168" w:type="dxa"/>
          </w:tcPr>
          <w:p w:rsidR="00042783" w:rsidRDefault="006C7FEF" w:rsidP="00D635A8">
            <w:pPr>
              <w:rPr>
                <w:b/>
              </w:rPr>
            </w:pPr>
            <w:r>
              <w:rPr>
                <w:b/>
              </w:rPr>
              <w:t>34.1</w:t>
            </w:r>
          </w:p>
        </w:tc>
        <w:tc>
          <w:tcPr>
            <w:tcW w:w="2260" w:type="dxa"/>
          </w:tcPr>
          <w:p w:rsidR="00042783" w:rsidRDefault="006C7FEF" w:rsidP="00D635A8">
            <w:pPr>
              <w:rPr>
                <w:b/>
              </w:rPr>
            </w:pPr>
            <w:r>
              <w:rPr>
                <w:b/>
              </w:rPr>
              <w:t>34.5</w:t>
            </w:r>
          </w:p>
        </w:tc>
      </w:tr>
      <w:tr w:rsidR="00F47FEA" w:rsidTr="00852DBD">
        <w:trPr>
          <w:jc w:val="center"/>
        </w:trPr>
        <w:tc>
          <w:tcPr>
            <w:tcW w:w="2397" w:type="dxa"/>
          </w:tcPr>
          <w:p w:rsidR="00F47FEA" w:rsidRPr="00F540F6" w:rsidRDefault="00F47FEA" w:rsidP="00F47FEA">
            <w:pPr>
              <w:rPr>
                <w:b/>
              </w:rPr>
            </w:pPr>
            <w:r w:rsidRPr="00F540F6">
              <w:rPr>
                <w:b/>
              </w:rPr>
              <w:t>% achieving GLD (a Good Level of Development)</w:t>
            </w:r>
          </w:p>
        </w:tc>
        <w:tc>
          <w:tcPr>
            <w:tcW w:w="1946" w:type="dxa"/>
          </w:tcPr>
          <w:p w:rsidR="00F47FEA" w:rsidRDefault="00F47FEA" w:rsidP="00F47FEA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F47FEA" w:rsidRDefault="00F47FEA" w:rsidP="00F47FEA">
            <w:pPr>
              <w:rPr>
                <w:b/>
              </w:rPr>
            </w:pPr>
            <w:r>
              <w:rPr>
                <w:b/>
              </w:rPr>
              <w:t>77.2%       44/57</w:t>
            </w:r>
          </w:p>
        </w:tc>
        <w:tc>
          <w:tcPr>
            <w:tcW w:w="2168" w:type="dxa"/>
          </w:tcPr>
          <w:p w:rsidR="00F47FEA" w:rsidRDefault="00F47FEA" w:rsidP="00F47FEA">
            <w:pPr>
              <w:rPr>
                <w:b/>
              </w:rPr>
            </w:pPr>
          </w:p>
        </w:tc>
        <w:tc>
          <w:tcPr>
            <w:tcW w:w="2260" w:type="dxa"/>
          </w:tcPr>
          <w:p w:rsidR="00F47FEA" w:rsidRDefault="00F47FEA" w:rsidP="00F47FEA">
            <w:pPr>
              <w:rPr>
                <w:b/>
              </w:rPr>
            </w:pPr>
          </w:p>
        </w:tc>
      </w:tr>
      <w:tr w:rsidR="00F47FEA" w:rsidTr="00852DBD">
        <w:trPr>
          <w:jc w:val="center"/>
        </w:trPr>
        <w:tc>
          <w:tcPr>
            <w:tcW w:w="2397" w:type="dxa"/>
          </w:tcPr>
          <w:p w:rsidR="00F47FEA" w:rsidRPr="00F540F6" w:rsidRDefault="00F47FEA" w:rsidP="00F47FEA">
            <w:pPr>
              <w:rPr>
                <w:b/>
              </w:rPr>
            </w:pPr>
            <w:r w:rsidRPr="00F540F6">
              <w:rPr>
                <w:b/>
              </w:rPr>
              <w:t>Average total point score</w:t>
            </w:r>
          </w:p>
        </w:tc>
        <w:tc>
          <w:tcPr>
            <w:tcW w:w="1946" w:type="dxa"/>
          </w:tcPr>
          <w:p w:rsidR="00F47FEA" w:rsidRDefault="00F47FEA" w:rsidP="00F47FEA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F47FEA" w:rsidRDefault="00A42948" w:rsidP="00F47FEA">
            <w:pPr>
              <w:rPr>
                <w:b/>
              </w:rPr>
            </w:pPr>
            <w:r>
              <w:rPr>
                <w:b/>
              </w:rPr>
              <w:t>36.2</w:t>
            </w:r>
          </w:p>
        </w:tc>
        <w:tc>
          <w:tcPr>
            <w:tcW w:w="2168" w:type="dxa"/>
          </w:tcPr>
          <w:p w:rsidR="00F47FEA" w:rsidRDefault="00A42948" w:rsidP="00F47FEA">
            <w:pPr>
              <w:rPr>
                <w:b/>
              </w:rPr>
            </w:pPr>
            <w:r>
              <w:rPr>
                <w:b/>
              </w:rPr>
              <w:t>34.1</w:t>
            </w:r>
          </w:p>
        </w:tc>
        <w:tc>
          <w:tcPr>
            <w:tcW w:w="2260" w:type="dxa"/>
          </w:tcPr>
          <w:p w:rsidR="00F47FEA" w:rsidRDefault="00F47FEA" w:rsidP="00F47FEA">
            <w:pPr>
              <w:rPr>
                <w:b/>
              </w:rPr>
            </w:pPr>
          </w:p>
        </w:tc>
      </w:tr>
    </w:tbl>
    <w:p w:rsidR="00A65F23" w:rsidRPr="00777DCD" w:rsidRDefault="00A65F23" w:rsidP="00777DCD"/>
    <w:sectPr w:rsidR="00A65F23" w:rsidRPr="00777DCD" w:rsidSect="000427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554D1"/>
    <w:multiLevelType w:val="hybridMultilevel"/>
    <w:tmpl w:val="B282D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446C6"/>
    <w:multiLevelType w:val="hybridMultilevel"/>
    <w:tmpl w:val="B582B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BF"/>
    <w:rsid w:val="0002510F"/>
    <w:rsid w:val="0003774C"/>
    <w:rsid w:val="00042783"/>
    <w:rsid w:val="0004787C"/>
    <w:rsid w:val="0006722C"/>
    <w:rsid w:val="00071D32"/>
    <w:rsid w:val="00086012"/>
    <w:rsid w:val="000C2CF8"/>
    <w:rsid w:val="000D04C9"/>
    <w:rsid w:val="000E5618"/>
    <w:rsid w:val="000F394A"/>
    <w:rsid w:val="000F687F"/>
    <w:rsid w:val="00100605"/>
    <w:rsid w:val="00100AEA"/>
    <w:rsid w:val="0010312A"/>
    <w:rsid w:val="00114C89"/>
    <w:rsid w:val="00125CC0"/>
    <w:rsid w:val="00130757"/>
    <w:rsid w:val="00141619"/>
    <w:rsid w:val="00151D4D"/>
    <w:rsid w:val="00187E85"/>
    <w:rsid w:val="00193A81"/>
    <w:rsid w:val="001F331C"/>
    <w:rsid w:val="001F477D"/>
    <w:rsid w:val="00220C36"/>
    <w:rsid w:val="00243543"/>
    <w:rsid w:val="002938B3"/>
    <w:rsid w:val="00297CE0"/>
    <w:rsid w:val="002A32E7"/>
    <w:rsid w:val="002B448F"/>
    <w:rsid w:val="002B53CF"/>
    <w:rsid w:val="002B5F7E"/>
    <w:rsid w:val="002B6119"/>
    <w:rsid w:val="002C4D9A"/>
    <w:rsid w:val="002D0F75"/>
    <w:rsid w:val="002D1DD0"/>
    <w:rsid w:val="002E16C4"/>
    <w:rsid w:val="00307B6C"/>
    <w:rsid w:val="00320C6E"/>
    <w:rsid w:val="00334796"/>
    <w:rsid w:val="0034034B"/>
    <w:rsid w:val="00340B7F"/>
    <w:rsid w:val="003430E2"/>
    <w:rsid w:val="00361D89"/>
    <w:rsid w:val="00374B23"/>
    <w:rsid w:val="00385ACB"/>
    <w:rsid w:val="00392DCB"/>
    <w:rsid w:val="00397E33"/>
    <w:rsid w:val="003A5F07"/>
    <w:rsid w:val="003C0C59"/>
    <w:rsid w:val="003C61AB"/>
    <w:rsid w:val="003D0697"/>
    <w:rsid w:val="003F5649"/>
    <w:rsid w:val="0045131D"/>
    <w:rsid w:val="00454843"/>
    <w:rsid w:val="00457295"/>
    <w:rsid w:val="0046148C"/>
    <w:rsid w:val="0047166D"/>
    <w:rsid w:val="00477840"/>
    <w:rsid w:val="004833D4"/>
    <w:rsid w:val="00492D3D"/>
    <w:rsid w:val="004A02DB"/>
    <w:rsid w:val="004C0C9E"/>
    <w:rsid w:val="004D2C7F"/>
    <w:rsid w:val="004E4E29"/>
    <w:rsid w:val="00536158"/>
    <w:rsid w:val="00552EF2"/>
    <w:rsid w:val="00553E62"/>
    <w:rsid w:val="00561839"/>
    <w:rsid w:val="00565A3C"/>
    <w:rsid w:val="00594D46"/>
    <w:rsid w:val="005B1C8C"/>
    <w:rsid w:val="005B3E0E"/>
    <w:rsid w:val="005B4224"/>
    <w:rsid w:val="005C3A3A"/>
    <w:rsid w:val="005D1351"/>
    <w:rsid w:val="005E11B8"/>
    <w:rsid w:val="005E2896"/>
    <w:rsid w:val="005E3119"/>
    <w:rsid w:val="005F3379"/>
    <w:rsid w:val="005F6374"/>
    <w:rsid w:val="0062131B"/>
    <w:rsid w:val="00621BF0"/>
    <w:rsid w:val="00655516"/>
    <w:rsid w:val="00670EB5"/>
    <w:rsid w:val="00682605"/>
    <w:rsid w:val="00695928"/>
    <w:rsid w:val="00697990"/>
    <w:rsid w:val="006A3AAC"/>
    <w:rsid w:val="006C7FEF"/>
    <w:rsid w:val="006F4FD2"/>
    <w:rsid w:val="0070626C"/>
    <w:rsid w:val="00730971"/>
    <w:rsid w:val="007333C7"/>
    <w:rsid w:val="00761FCC"/>
    <w:rsid w:val="007620F6"/>
    <w:rsid w:val="00777DCD"/>
    <w:rsid w:val="0079475C"/>
    <w:rsid w:val="007B0DB7"/>
    <w:rsid w:val="007B2A28"/>
    <w:rsid w:val="007B387E"/>
    <w:rsid w:val="007D23C4"/>
    <w:rsid w:val="007D623F"/>
    <w:rsid w:val="007E7958"/>
    <w:rsid w:val="007F454E"/>
    <w:rsid w:val="008048D0"/>
    <w:rsid w:val="00806EBA"/>
    <w:rsid w:val="00811035"/>
    <w:rsid w:val="008312FA"/>
    <w:rsid w:val="0084379C"/>
    <w:rsid w:val="00852DBD"/>
    <w:rsid w:val="00866F33"/>
    <w:rsid w:val="00870E46"/>
    <w:rsid w:val="00887D28"/>
    <w:rsid w:val="008A1C27"/>
    <w:rsid w:val="008C4311"/>
    <w:rsid w:val="008C5BA2"/>
    <w:rsid w:val="008E4033"/>
    <w:rsid w:val="008F133B"/>
    <w:rsid w:val="0091416E"/>
    <w:rsid w:val="00915E22"/>
    <w:rsid w:val="00947EED"/>
    <w:rsid w:val="00961A63"/>
    <w:rsid w:val="009675F4"/>
    <w:rsid w:val="00980DA0"/>
    <w:rsid w:val="00981491"/>
    <w:rsid w:val="00997E52"/>
    <w:rsid w:val="009C1E69"/>
    <w:rsid w:val="00A16C53"/>
    <w:rsid w:val="00A17B78"/>
    <w:rsid w:val="00A3074F"/>
    <w:rsid w:val="00A42948"/>
    <w:rsid w:val="00A6409E"/>
    <w:rsid w:val="00A65F23"/>
    <w:rsid w:val="00A84021"/>
    <w:rsid w:val="00AA04F3"/>
    <w:rsid w:val="00AB5319"/>
    <w:rsid w:val="00AC3882"/>
    <w:rsid w:val="00AD24F7"/>
    <w:rsid w:val="00AD4F01"/>
    <w:rsid w:val="00B410FF"/>
    <w:rsid w:val="00B411BF"/>
    <w:rsid w:val="00B55ABE"/>
    <w:rsid w:val="00B63F79"/>
    <w:rsid w:val="00BA5D09"/>
    <w:rsid w:val="00BA71B1"/>
    <w:rsid w:val="00BB08A9"/>
    <w:rsid w:val="00BC54FB"/>
    <w:rsid w:val="00BC758A"/>
    <w:rsid w:val="00BD29BA"/>
    <w:rsid w:val="00BE18D4"/>
    <w:rsid w:val="00C34CEB"/>
    <w:rsid w:val="00C408C0"/>
    <w:rsid w:val="00C41738"/>
    <w:rsid w:val="00C44CFB"/>
    <w:rsid w:val="00C809B7"/>
    <w:rsid w:val="00C96C4E"/>
    <w:rsid w:val="00CC44FE"/>
    <w:rsid w:val="00CE7A5E"/>
    <w:rsid w:val="00D17ABF"/>
    <w:rsid w:val="00D25200"/>
    <w:rsid w:val="00D63AE9"/>
    <w:rsid w:val="00D7163E"/>
    <w:rsid w:val="00D80927"/>
    <w:rsid w:val="00D9340A"/>
    <w:rsid w:val="00DA1742"/>
    <w:rsid w:val="00DA262C"/>
    <w:rsid w:val="00DA5583"/>
    <w:rsid w:val="00DB5486"/>
    <w:rsid w:val="00DB6D13"/>
    <w:rsid w:val="00DC2CE4"/>
    <w:rsid w:val="00DC6DEC"/>
    <w:rsid w:val="00DC727F"/>
    <w:rsid w:val="00E0390F"/>
    <w:rsid w:val="00E10C0A"/>
    <w:rsid w:val="00E15218"/>
    <w:rsid w:val="00E161C2"/>
    <w:rsid w:val="00E227B8"/>
    <w:rsid w:val="00E4296C"/>
    <w:rsid w:val="00E65AAA"/>
    <w:rsid w:val="00E721D2"/>
    <w:rsid w:val="00E84207"/>
    <w:rsid w:val="00E8425A"/>
    <w:rsid w:val="00E925AC"/>
    <w:rsid w:val="00EA4F0C"/>
    <w:rsid w:val="00EA598E"/>
    <w:rsid w:val="00EC2E76"/>
    <w:rsid w:val="00ED04D3"/>
    <w:rsid w:val="00EF0CF8"/>
    <w:rsid w:val="00F0316A"/>
    <w:rsid w:val="00F26EFE"/>
    <w:rsid w:val="00F4311E"/>
    <w:rsid w:val="00F47FEA"/>
    <w:rsid w:val="00F540F6"/>
    <w:rsid w:val="00F57BC9"/>
    <w:rsid w:val="00F80A3D"/>
    <w:rsid w:val="00F80A98"/>
    <w:rsid w:val="00F848E8"/>
    <w:rsid w:val="00FA454D"/>
    <w:rsid w:val="00FB3AF3"/>
    <w:rsid w:val="00FC3603"/>
    <w:rsid w:val="00FD036A"/>
    <w:rsid w:val="00FD6359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2CFC4-A1DA-4FA4-9093-3B9AC2DD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DCD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ABF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7B38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E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29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D8760EA5</Template>
  <TotalTime>0</TotalTime>
  <Pages>5</Pages>
  <Words>958</Words>
  <Characters>5465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LBassett.cd3</dc:creator>
  <cp:lastModifiedBy>Ashley Chris</cp:lastModifiedBy>
  <cp:revision>2</cp:revision>
  <cp:lastPrinted>2018-09-27T12:51:00Z</cp:lastPrinted>
  <dcterms:created xsi:type="dcterms:W3CDTF">2018-11-08T13:00:00Z</dcterms:created>
  <dcterms:modified xsi:type="dcterms:W3CDTF">2018-11-08T13:00:00Z</dcterms:modified>
</cp:coreProperties>
</file>